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6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5"/>
        <w:gridCol w:w="2335"/>
        <w:gridCol w:w="1635"/>
        <w:gridCol w:w="210"/>
        <w:gridCol w:w="1547"/>
        <w:gridCol w:w="1548"/>
      </w:tblGrid>
      <w:tr w:rsidR="001B118A" w:rsidRPr="00AC5F20" w:rsidTr="0005779F">
        <w:tc>
          <w:tcPr>
            <w:tcW w:w="11016" w:type="dxa"/>
            <w:gridSpan w:val="6"/>
            <w:shd w:val="clear" w:color="auto" w:fill="auto"/>
          </w:tcPr>
          <w:p w:rsidR="001B118A" w:rsidRPr="00AC5F20" w:rsidRDefault="001B118A" w:rsidP="0005779F">
            <w:pPr>
              <w:spacing w:after="0" w:line="240" w:lineRule="auto"/>
              <w:jc w:val="center"/>
              <w:rPr>
                <w:rFonts w:ascii="Arial" w:hAnsi="Arial" w:cs="Arial"/>
                <w:szCs w:val="20"/>
              </w:rPr>
            </w:pPr>
            <w:r>
              <w:rPr>
                <w:noProof/>
                <w:lang w:val="es-CO" w:eastAsia="es-CO"/>
              </w:rPr>
              <w:drawing>
                <wp:anchor distT="0" distB="0" distL="114300" distR="114300" simplePos="0" relativeHeight="251659264" behindDoc="0" locked="0" layoutInCell="1" allowOverlap="1">
                  <wp:simplePos x="0" y="0"/>
                  <wp:positionH relativeFrom="column">
                    <wp:posOffset>5911850</wp:posOffset>
                  </wp:positionH>
                  <wp:positionV relativeFrom="paragraph">
                    <wp:posOffset>180340</wp:posOffset>
                  </wp:positionV>
                  <wp:extent cx="381000" cy="5867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l="22156" t="34808" r="68092" b="44548"/>
                          <a:stretch>
                            <a:fillRect/>
                          </a:stretch>
                        </pic:blipFill>
                        <pic:spPr bwMode="auto">
                          <a:xfrm>
                            <a:off x="0" y="0"/>
                            <a:ext cx="38100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0288" behindDoc="0" locked="0" layoutInCell="1" allowOverlap="1">
                  <wp:simplePos x="0" y="0"/>
                  <wp:positionH relativeFrom="column">
                    <wp:posOffset>6343650</wp:posOffset>
                  </wp:positionH>
                  <wp:positionV relativeFrom="paragraph">
                    <wp:posOffset>252095</wp:posOffset>
                  </wp:positionV>
                  <wp:extent cx="466725" cy="4476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6">
                            <a:extLst>
                              <a:ext uri="{28A0092B-C50C-407E-A947-70E740481C1C}">
                                <a14:useLocalDpi xmlns:a14="http://schemas.microsoft.com/office/drawing/2010/main" val="0"/>
                              </a:ext>
                            </a:extLst>
                          </a:blip>
                          <a:srcRect l="66968" t="4095" b="38576"/>
                          <a:stretch>
                            <a:fillRect/>
                          </a:stretch>
                        </pic:blipFill>
                        <pic:spPr bwMode="auto">
                          <a:xfrm>
                            <a:off x="0" y="0"/>
                            <a:ext cx="4667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Cs w:val="20"/>
                <w:lang w:val="es-CO" w:eastAsia="es-CO"/>
              </w:rPr>
              <w:drawing>
                <wp:inline distT="0" distB="0" distL="0" distR="0">
                  <wp:extent cx="5662295" cy="958215"/>
                  <wp:effectExtent l="0" t="0" r="0" b="0"/>
                  <wp:docPr id="1" name="Imagen 1" descr="logo 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2295" cy="958215"/>
                          </a:xfrm>
                          <a:prstGeom prst="rect">
                            <a:avLst/>
                          </a:prstGeom>
                          <a:noFill/>
                          <a:ln>
                            <a:noFill/>
                          </a:ln>
                        </pic:spPr>
                      </pic:pic>
                    </a:graphicData>
                  </a:graphic>
                </wp:inline>
              </w:drawing>
            </w:r>
          </w:p>
        </w:tc>
      </w:tr>
      <w:tr w:rsidR="001B118A" w:rsidRPr="00AC5F20" w:rsidTr="0005779F">
        <w:tc>
          <w:tcPr>
            <w:tcW w:w="3617" w:type="dxa"/>
            <w:shd w:val="clear" w:color="auto" w:fill="auto"/>
          </w:tcPr>
          <w:p w:rsidR="001B118A" w:rsidRPr="00AC5F20" w:rsidRDefault="001B118A" w:rsidP="0005779F">
            <w:pPr>
              <w:spacing w:after="0" w:line="240" w:lineRule="auto"/>
              <w:rPr>
                <w:rFonts w:ascii="Arial" w:hAnsi="Arial" w:cs="Arial"/>
                <w:szCs w:val="20"/>
              </w:rPr>
            </w:pPr>
            <w:r w:rsidRPr="00AC5F20">
              <w:rPr>
                <w:rFonts w:ascii="Arial" w:hAnsi="Arial" w:cs="Arial"/>
                <w:szCs w:val="20"/>
              </w:rPr>
              <w:t>Área:</w:t>
            </w:r>
            <w:r>
              <w:rPr>
                <w:rFonts w:ascii="Arial" w:hAnsi="Arial" w:cs="Arial"/>
                <w:szCs w:val="20"/>
              </w:rPr>
              <w:t xml:space="preserve"> Ciencias Sociales</w:t>
            </w:r>
          </w:p>
        </w:tc>
        <w:tc>
          <w:tcPr>
            <w:tcW w:w="2420" w:type="dxa"/>
            <w:shd w:val="clear" w:color="auto" w:fill="auto"/>
          </w:tcPr>
          <w:p w:rsidR="001B118A" w:rsidRPr="00AC5F20" w:rsidRDefault="001B118A" w:rsidP="0005779F">
            <w:pPr>
              <w:spacing w:after="0" w:line="240" w:lineRule="auto"/>
              <w:rPr>
                <w:rFonts w:ascii="Arial" w:hAnsi="Arial" w:cs="Arial"/>
                <w:szCs w:val="20"/>
              </w:rPr>
            </w:pPr>
            <w:r w:rsidRPr="00AC5F20">
              <w:rPr>
                <w:rFonts w:ascii="Arial" w:hAnsi="Arial" w:cs="Arial"/>
                <w:szCs w:val="20"/>
              </w:rPr>
              <w:t>Grado:</w:t>
            </w:r>
            <w:r>
              <w:rPr>
                <w:rFonts w:ascii="Arial" w:hAnsi="Arial" w:cs="Arial"/>
                <w:szCs w:val="20"/>
              </w:rPr>
              <w:t xml:space="preserve"> 9º</w:t>
            </w:r>
          </w:p>
        </w:tc>
        <w:tc>
          <w:tcPr>
            <w:tcW w:w="1658" w:type="dxa"/>
            <w:shd w:val="clear" w:color="auto" w:fill="auto"/>
          </w:tcPr>
          <w:p w:rsidR="001B118A" w:rsidRPr="00AC5F20" w:rsidRDefault="001B118A" w:rsidP="0005779F">
            <w:pPr>
              <w:spacing w:after="0" w:line="240" w:lineRule="auto"/>
              <w:rPr>
                <w:rFonts w:ascii="Arial" w:hAnsi="Arial" w:cs="Arial"/>
                <w:szCs w:val="20"/>
              </w:rPr>
            </w:pPr>
            <w:r w:rsidRPr="00AC5F20">
              <w:rPr>
                <w:rFonts w:ascii="Arial" w:hAnsi="Arial" w:cs="Arial"/>
                <w:szCs w:val="20"/>
              </w:rPr>
              <w:t>Grupo</w:t>
            </w:r>
            <w:r>
              <w:rPr>
                <w:rFonts w:ascii="Arial" w:hAnsi="Arial" w:cs="Arial"/>
                <w:szCs w:val="20"/>
              </w:rPr>
              <w:t>: 03</w:t>
            </w:r>
          </w:p>
        </w:tc>
        <w:tc>
          <w:tcPr>
            <w:tcW w:w="3321" w:type="dxa"/>
            <w:gridSpan w:val="3"/>
            <w:shd w:val="clear" w:color="auto" w:fill="auto"/>
          </w:tcPr>
          <w:p w:rsidR="001B118A" w:rsidRPr="00AC5F20" w:rsidRDefault="001B118A" w:rsidP="0005779F">
            <w:pPr>
              <w:spacing w:after="0" w:line="240" w:lineRule="auto"/>
              <w:rPr>
                <w:rFonts w:ascii="Arial" w:hAnsi="Arial" w:cs="Arial"/>
                <w:szCs w:val="20"/>
              </w:rPr>
            </w:pPr>
            <w:r w:rsidRPr="00AC5F20">
              <w:rPr>
                <w:rFonts w:ascii="Arial" w:hAnsi="Arial" w:cs="Arial"/>
                <w:szCs w:val="20"/>
              </w:rPr>
              <w:t>Periodo</w:t>
            </w:r>
            <w:r>
              <w:rPr>
                <w:rFonts w:ascii="Arial" w:hAnsi="Arial" w:cs="Arial"/>
                <w:szCs w:val="20"/>
              </w:rPr>
              <w:t>: Tres</w:t>
            </w:r>
          </w:p>
        </w:tc>
      </w:tr>
      <w:tr w:rsidR="001B118A" w:rsidRPr="00AC5F20" w:rsidTr="0005779F">
        <w:tc>
          <w:tcPr>
            <w:tcW w:w="3617" w:type="dxa"/>
            <w:shd w:val="clear" w:color="auto" w:fill="auto"/>
          </w:tcPr>
          <w:p w:rsidR="001B118A" w:rsidRPr="00AC5F20" w:rsidRDefault="001B118A" w:rsidP="0005779F">
            <w:pPr>
              <w:spacing w:after="0" w:line="240" w:lineRule="auto"/>
              <w:rPr>
                <w:rFonts w:ascii="Arial" w:hAnsi="Arial" w:cs="Arial"/>
                <w:szCs w:val="20"/>
              </w:rPr>
            </w:pPr>
            <w:r w:rsidRPr="00AC5F20">
              <w:rPr>
                <w:rFonts w:ascii="Arial" w:hAnsi="Arial" w:cs="Arial"/>
                <w:szCs w:val="20"/>
              </w:rPr>
              <w:t>Educador</w:t>
            </w:r>
            <w:r>
              <w:rPr>
                <w:rFonts w:ascii="Arial" w:hAnsi="Arial" w:cs="Arial"/>
                <w:szCs w:val="20"/>
              </w:rPr>
              <w:t>: Heidi Montoya</w:t>
            </w:r>
          </w:p>
        </w:tc>
        <w:tc>
          <w:tcPr>
            <w:tcW w:w="7399" w:type="dxa"/>
            <w:gridSpan w:val="5"/>
            <w:shd w:val="clear" w:color="auto" w:fill="auto"/>
          </w:tcPr>
          <w:p w:rsidR="001B118A" w:rsidRPr="00AC5F20" w:rsidRDefault="001B118A" w:rsidP="0005779F">
            <w:pPr>
              <w:spacing w:after="0" w:line="240" w:lineRule="auto"/>
              <w:rPr>
                <w:rFonts w:ascii="Arial" w:hAnsi="Arial" w:cs="Arial"/>
                <w:szCs w:val="20"/>
              </w:rPr>
            </w:pPr>
          </w:p>
        </w:tc>
      </w:tr>
      <w:tr w:rsidR="001B118A" w:rsidRPr="00AC5F20" w:rsidTr="0005779F">
        <w:tc>
          <w:tcPr>
            <w:tcW w:w="11016" w:type="dxa"/>
            <w:gridSpan w:val="6"/>
            <w:shd w:val="clear" w:color="auto" w:fill="auto"/>
          </w:tcPr>
          <w:p w:rsidR="001B118A" w:rsidRDefault="001B118A" w:rsidP="0005779F">
            <w:pPr>
              <w:spacing w:after="0" w:line="240" w:lineRule="auto"/>
              <w:rPr>
                <w:rFonts w:ascii="Arial" w:hAnsi="Arial" w:cs="Arial"/>
                <w:szCs w:val="20"/>
              </w:rPr>
            </w:pPr>
            <w:r w:rsidRPr="00AC5F20">
              <w:rPr>
                <w:rFonts w:ascii="Arial" w:hAnsi="Arial" w:cs="Arial"/>
                <w:szCs w:val="20"/>
              </w:rPr>
              <w:t>Indicadores de logro:</w:t>
            </w:r>
          </w:p>
          <w:p w:rsidR="001B118A" w:rsidRDefault="001B118A" w:rsidP="001B118A">
            <w:pPr>
              <w:numPr>
                <w:ilvl w:val="0"/>
                <w:numId w:val="1"/>
              </w:numPr>
              <w:spacing w:after="0" w:line="240" w:lineRule="auto"/>
              <w:rPr>
                <w:rFonts w:ascii="Arial" w:hAnsi="Arial" w:cs="Arial"/>
                <w:szCs w:val="20"/>
              </w:rPr>
            </w:pPr>
            <w:r w:rsidRPr="001B118A">
              <w:rPr>
                <w:rFonts w:ascii="Arial" w:hAnsi="Arial" w:cs="Arial"/>
                <w:szCs w:val="20"/>
              </w:rPr>
              <w:t>Identificar y relacionar el rol de la mujer en el desarrollo de la política, la sociedad, la economía y la cultura Colombiana.</w:t>
            </w:r>
          </w:p>
          <w:p w:rsidR="001B118A" w:rsidRDefault="001B118A" w:rsidP="001B118A">
            <w:pPr>
              <w:numPr>
                <w:ilvl w:val="0"/>
                <w:numId w:val="1"/>
              </w:numPr>
              <w:spacing w:after="0" w:line="240" w:lineRule="auto"/>
              <w:rPr>
                <w:rFonts w:ascii="Arial" w:hAnsi="Arial" w:cs="Arial"/>
                <w:szCs w:val="20"/>
              </w:rPr>
            </w:pPr>
            <w:r w:rsidRPr="001B118A">
              <w:rPr>
                <w:rFonts w:ascii="Arial" w:hAnsi="Arial" w:cs="Arial"/>
                <w:szCs w:val="20"/>
              </w:rPr>
              <w:t>Explicar los principales hechos históricos del mundo durante la segunda mitad del siglo XX.</w:t>
            </w:r>
          </w:p>
          <w:p w:rsidR="001B118A" w:rsidRDefault="001B118A" w:rsidP="001B118A">
            <w:pPr>
              <w:numPr>
                <w:ilvl w:val="0"/>
                <w:numId w:val="1"/>
              </w:numPr>
              <w:spacing w:after="0" w:line="240" w:lineRule="auto"/>
              <w:rPr>
                <w:rFonts w:ascii="Arial" w:hAnsi="Arial" w:cs="Arial"/>
                <w:szCs w:val="20"/>
              </w:rPr>
            </w:pPr>
            <w:r w:rsidRPr="001B118A">
              <w:rPr>
                <w:rFonts w:ascii="Arial" w:hAnsi="Arial" w:cs="Arial"/>
                <w:szCs w:val="20"/>
              </w:rPr>
              <w:t xml:space="preserve">Explicar de forma objetiva y crítica la realidad  de Colombia a finales del siglo XX. </w:t>
            </w:r>
          </w:p>
          <w:p w:rsidR="001B118A" w:rsidRPr="00593011" w:rsidRDefault="001B118A" w:rsidP="001B118A">
            <w:pPr>
              <w:numPr>
                <w:ilvl w:val="0"/>
                <w:numId w:val="1"/>
              </w:numPr>
              <w:spacing w:after="0" w:line="240" w:lineRule="auto"/>
              <w:rPr>
                <w:rFonts w:ascii="Arial" w:hAnsi="Arial" w:cs="Arial"/>
                <w:szCs w:val="20"/>
              </w:rPr>
            </w:pPr>
            <w:r w:rsidRPr="001B118A">
              <w:rPr>
                <w:rFonts w:ascii="Arial" w:hAnsi="Arial" w:cs="Arial"/>
                <w:szCs w:val="20"/>
              </w:rPr>
              <w:t>Relacionar los procesos políticos, sociales, económicos y culturales del mundo con la historia de Colombia desde la mitad del siglo XX hasta la actualidad.</w:t>
            </w:r>
            <w:r w:rsidRPr="00593011">
              <w:rPr>
                <w:rFonts w:ascii="Arial" w:hAnsi="Arial" w:cs="Arial"/>
                <w:szCs w:val="20"/>
              </w:rPr>
              <w:t xml:space="preserve"> </w:t>
            </w:r>
          </w:p>
        </w:tc>
      </w:tr>
      <w:tr w:rsidR="001B118A" w:rsidRPr="00AC5F20" w:rsidTr="0005779F">
        <w:trPr>
          <w:trHeight w:val="1328"/>
        </w:trPr>
        <w:tc>
          <w:tcPr>
            <w:tcW w:w="7905" w:type="dxa"/>
            <w:gridSpan w:val="4"/>
            <w:shd w:val="clear" w:color="auto" w:fill="auto"/>
          </w:tcPr>
          <w:p w:rsidR="001B118A" w:rsidRDefault="001B118A" w:rsidP="0005779F">
            <w:pPr>
              <w:spacing w:after="0" w:line="240" w:lineRule="auto"/>
              <w:rPr>
                <w:rFonts w:ascii="Arial" w:hAnsi="Arial" w:cs="Arial"/>
              </w:rPr>
            </w:pPr>
            <w:r w:rsidRPr="00AC5F20">
              <w:rPr>
                <w:rFonts w:ascii="Arial" w:hAnsi="Arial" w:cs="Arial"/>
              </w:rPr>
              <w:t>Criterios de Evaluación:</w:t>
            </w:r>
          </w:p>
          <w:p w:rsidR="001B118A" w:rsidRDefault="001B118A" w:rsidP="001B118A">
            <w:pPr>
              <w:numPr>
                <w:ilvl w:val="0"/>
                <w:numId w:val="1"/>
              </w:numPr>
              <w:spacing w:after="0" w:line="240" w:lineRule="auto"/>
              <w:rPr>
                <w:rFonts w:ascii="Arial" w:hAnsi="Arial" w:cs="Arial"/>
              </w:rPr>
            </w:pPr>
            <w:r>
              <w:rPr>
                <w:rFonts w:ascii="Arial" w:hAnsi="Arial" w:cs="Arial"/>
              </w:rPr>
              <w:t>El taller debe ser desarrollado en hojas de block y a mano (no se acepta impreso)</w:t>
            </w:r>
          </w:p>
          <w:p w:rsidR="001B118A" w:rsidRDefault="001B118A" w:rsidP="001B118A">
            <w:pPr>
              <w:numPr>
                <w:ilvl w:val="0"/>
                <w:numId w:val="1"/>
              </w:numPr>
              <w:spacing w:after="0" w:line="240" w:lineRule="auto"/>
              <w:rPr>
                <w:rFonts w:ascii="Arial" w:hAnsi="Arial" w:cs="Arial"/>
              </w:rPr>
            </w:pPr>
            <w:r>
              <w:rPr>
                <w:rFonts w:ascii="Arial" w:hAnsi="Arial" w:cs="Arial"/>
              </w:rPr>
              <w:t>Buena Presentación</w:t>
            </w:r>
          </w:p>
          <w:p w:rsidR="001B118A" w:rsidRDefault="001B118A" w:rsidP="001B118A">
            <w:pPr>
              <w:numPr>
                <w:ilvl w:val="0"/>
                <w:numId w:val="1"/>
              </w:numPr>
              <w:spacing w:after="0" w:line="240" w:lineRule="auto"/>
              <w:rPr>
                <w:rFonts w:ascii="Arial" w:hAnsi="Arial" w:cs="Arial"/>
              </w:rPr>
            </w:pPr>
            <w:r>
              <w:rPr>
                <w:rFonts w:ascii="Arial" w:hAnsi="Arial" w:cs="Arial"/>
              </w:rPr>
              <w:t>Respuestas bien desarrollas</w:t>
            </w:r>
          </w:p>
          <w:p w:rsidR="001B118A" w:rsidRDefault="001B118A" w:rsidP="001B118A">
            <w:pPr>
              <w:numPr>
                <w:ilvl w:val="0"/>
                <w:numId w:val="1"/>
              </w:numPr>
              <w:spacing w:after="0" w:line="240" w:lineRule="auto"/>
              <w:rPr>
                <w:rFonts w:ascii="Arial" w:hAnsi="Arial" w:cs="Arial"/>
              </w:rPr>
            </w:pPr>
            <w:r>
              <w:rPr>
                <w:rFonts w:ascii="Arial" w:hAnsi="Arial" w:cs="Arial"/>
              </w:rPr>
              <w:t xml:space="preserve">Solo se recibe en las fechas estipuladas </w:t>
            </w:r>
          </w:p>
          <w:p w:rsidR="001B118A" w:rsidRDefault="001B118A" w:rsidP="001B118A">
            <w:pPr>
              <w:numPr>
                <w:ilvl w:val="0"/>
                <w:numId w:val="1"/>
              </w:numPr>
              <w:spacing w:after="0" w:line="240" w:lineRule="auto"/>
              <w:rPr>
                <w:rFonts w:ascii="Arial" w:hAnsi="Arial" w:cs="Arial"/>
              </w:rPr>
            </w:pPr>
            <w:r>
              <w:rPr>
                <w:rFonts w:ascii="Arial" w:hAnsi="Arial" w:cs="Arial"/>
              </w:rPr>
              <w:t>Sin entregar el taller no se presenta sustentación</w:t>
            </w:r>
          </w:p>
          <w:p w:rsidR="001B118A" w:rsidRPr="00593011" w:rsidRDefault="001B118A" w:rsidP="001B118A">
            <w:pPr>
              <w:numPr>
                <w:ilvl w:val="0"/>
                <w:numId w:val="1"/>
              </w:numPr>
              <w:spacing w:after="0" w:line="240" w:lineRule="auto"/>
              <w:rPr>
                <w:rFonts w:ascii="Arial" w:hAnsi="Arial" w:cs="Arial"/>
              </w:rPr>
            </w:pPr>
            <w:r>
              <w:rPr>
                <w:rFonts w:ascii="Arial" w:hAnsi="Arial" w:cs="Arial"/>
                <w:b/>
              </w:rPr>
              <w:t>El trabajo escrito ti</w:t>
            </w:r>
            <w:r w:rsidRPr="00F47F52">
              <w:rPr>
                <w:rFonts w:ascii="Arial" w:hAnsi="Arial" w:cs="Arial"/>
                <w:b/>
              </w:rPr>
              <w:t>ene un valor de 40%</w:t>
            </w:r>
            <w:r>
              <w:rPr>
                <w:rFonts w:ascii="Arial" w:hAnsi="Arial" w:cs="Arial"/>
                <w:b/>
              </w:rPr>
              <w:t xml:space="preserve"> y la sustentación del 60%</w:t>
            </w:r>
          </w:p>
        </w:tc>
        <w:tc>
          <w:tcPr>
            <w:tcW w:w="1559" w:type="dxa"/>
            <w:shd w:val="clear" w:color="auto" w:fill="auto"/>
          </w:tcPr>
          <w:p w:rsidR="001B118A" w:rsidRDefault="001B118A" w:rsidP="0005779F">
            <w:pPr>
              <w:spacing w:after="0" w:line="240" w:lineRule="auto"/>
              <w:rPr>
                <w:rFonts w:ascii="Arial" w:hAnsi="Arial" w:cs="Arial"/>
                <w:sz w:val="16"/>
                <w:szCs w:val="18"/>
              </w:rPr>
            </w:pPr>
            <w:r w:rsidRPr="002A62DB">
              <w:rPr>
                <w:rFonts w:ascii="Arial" w:hAnsi="Arial" w:cs="Arial"/>
                <w:sz w:val="16"/>
                <w:szCs w:val="18"/>
              </w:rPr>
              <w:t xml:space="preserve">Fecha de entrega de evidencias. </w:t>
            </w:r>
          </w:p>
          <w:p w:rsidR="001B118A" w:rsidRDefault="001B118A" w:rsidP="0005779F">
            <w:pPr>
              <w:spacing w:after="0" w:line="240" w:lineRule="auto"/>
              <w:rPr>
                <w:rFonts w:ascii="Arial" w:hAnsi="Arial" w:cs="Arial"/>
                <w:sz w:val="16"/>
                <w:szCs w:val="18"/>
              </w:rPr>
            </w:pPr>
          </w:p>
          <w:p w:rsidR="001B118A" w:rsidRPr="002A62DB" w:rsidRDefault="001B118A" w:rsidP="0005779F">
            <w:pPr>
              <w:spacing w:after="0" w:line="240" w:lineRule="auto"/>
              <w:rPr>
                <w:rFonts w:ascii="Arial" w:hAnsi="Arial" w:cs="Arial"/>
                <w:sz w:val="16"/>
                <w:szCs w:val="18"/>
              </w:rPr>
            </w:pPr>
            <w:r>
              <w:rPr>
                <w:rFonts w:ascii="Arial" w:hAnsi="Arial" w:cs="Arial"/>
                <w:sz w:val="16"/>
                <w:szCs w:val="18"/>
              </w:rPr>
              <w:t xml:space="preserve">16 – 22 de Noviembre </w:t>
            </w:r>
          </w:p>
        </w:tc>
        <w:tc>
          <w:tcPr>
            <w:tcW w:w="1552" w:type="dxa"/>
            <w:shd w:val="clear" w:color="auto" w:fill="auto"/>
          </w:tcPr>
          <w:p w:rsidR="001B118A" w:rsidRPr="002A62DB" w:rsidRDefault="001B118A" w:rsidP="0005779F">
            <w:pPr>
              <w:spacing w:after="0" w:line="240" w:lineRule="auto"/>
              <w:rPr>
                <w:rFonts w:ascii="Arial" w:hAnsi="Arial" w:cs="Arial"/>
                <w:sz w:val="16"/>
                <w:szCs w:val="18"/>
              </w:rPr>
            </w:pPr>
            <w:r w:rsidRPr="002A62DB">
              <w:rPr>
                <w:rFonts w:ascii="Arial" w:hAnsi="Arial" w:cs="Arial"/>
                <w:sz w:val="16"/>
                <w:szCs w:val="18"/>
              </w:rPr>
              <w:t>Fecha de sustentación.</w:t>
            </w:r>
          </w:p>
          <w:p w:rsidR="001B118A" w:rsidRDefault="001B118A" w:rsidP="0005779F">
            <w:pPr>
              <w:spacing w:after="0" w:line="240" w:lineRule="auto"/>
              <w:rPr>
                <w:rFonts w:ascii="Arial" w:hAnsi="Arial" w:cs="Arial"/>
                <w:sz w:val="16"/>
                <w:szCs w:val="18"/>
              </w:rPr>
            </w:pPr>
          </w:p>
          <w:p w:rsidR="001B118A" w:rsidRPr="002A62DB" w:rsidRDefault="001B118A" w:rsidP="0005779F">
            <w:pPr>
              <w:spacing w:after="0" w:line="240" w:lineRule="auto"/>
              <w:rPr>
                <w:rFonts w:ascii="Arial" w:hAnsi="Arial" w:cs="Arial"/>
                <w:sz w:val="16"/>
                <w:szCs w:val="18"/>
              </w:rPr>
            </w:pPr>
            <w:r>
              <w:rPr>
                <w:rFonts w:ascii="Arial" w:hAnsi="Arial" w:cs="Arial"/>
                <w:sz w:val="16"/>
                <w:szCs w:val="18"/>
              </w:rPr>
              <w:t>20 – 24 de Noviembre</w:t>
            </w:r>
          </w:p>
        </w:tc>
      </w:tr>
      <w:tr w:rsidR="001B118A" w:rsidRPr="00AC5F20" w:rsidTr="0005779F">
        <w:tc>
          <w:tcPr>
            <w:tcW w:w="11016" w:type="dxa"/>
            <w:gridSpan w:val="6"/>
            <w:shd w:val="clear" w:color="auto" w:fill="auto"/>
          </w:tcPr>
          <w:p w:rsidR="001B118A" w:rsidRPr="00AC5F20" w:rsidRDefault="001B118A" w:rsidP="0005779F">
            <w:pPr>
              <w:spacing w:after="0" w:line="240" w:lineRule="auto"/>
              <w:rPr>
                <w:rFonts w:ascii="Arial" w:hAnsi="Arial" w:cs="Arial"/>
                <w:szCs w:val="20"/>
              </w:rPr>
            </w:pPr>
            <w:r w:rsidRPr="00AC5F20">
              <w:rPr>
                <w:rFonts w:ascii="Arial" w:hAnsi="Arial" w:cs="Arial"/>
                <w:szCs w:val="20"/>
              </w:rPr>
              <w:t>Bibliografía:</w:t>
            </w:r>
          </w:p>
          <w:p w:rsidR="001B118A" w:rsidRDefault="001B118A" w:rsidP="001B118A">
            <w:pPr>
              <w:numPr>
                <w:ilvl w:val="0"/>
                <w:numId w:val="2"/>
              </w:numPr>
              <w:spacing w:after="0" w:line="240" w:lineRule="auto"/>
              <w:rPr>
                <w:rFonts w:ascii="Arial" w:hAnsi="Arial" w:cs="Arial"/>
                <w:szCs w:val="20"/>
              </w:rPr>
            </w:pPr>
            <w:r>
              <w:rPr>
                <w:rFonts w:ascii="Arial" w:hAnsi="Arial" w:cs="Arial"/>
                <w:szCs w:val="20"/>
              </w:rPr>
              <w:t>Cuaderno del estudiante</w:t>
            </w:r>
          </w:p>
          <w:p w:rsidR="001B118A" w:rsidRDefault="001B118A" w:rsidP="001B118A">
            <w:pPr>
              <w:numPr>
                <w:ilvl w:val="0"/>
                <w:numId w:val="2"/>
              </w:numPr>
              <w:spacing w:after="0" w:line="240" w:lineRule="auto"/>
              <w:rPr>
                <w:rFonts w:ascii="Arial" w:hAnsi="Arial" w:cs="Arial"/>
                <w:szCs w:val="20"/>
              </w:rPr>
            </w:pPr>
            <w:r w:rsidRPr="00593011">
              <w:rPr>
                <w:rFonts w:ascii="Arial" w:hAnsi="Arial" w:cs="Arial"/>
                <w:szCs w:val="20"/>
              </w:rPr>
              <w:t xml:space="preserve">Libros de texto </w:t>
            </w:r>
            <w:r w:rsidR="00F767F5">
              <w:rPr>
                <w:rFonts w:ascii="Arial" w:hAnsi="Arial" w:cs="Arial"/>
                <w:szCs w:val="20"/>
              </w:rPr>
              <w:t>de Ciencias Sociales</w:t>
            </w:r>
            <w:bookmarkStart w:id="0" w:name="_GoBack"/>
            <w:bookmarkEnd w:id="0"/>
          </w:p>
          <w:p w:rsidR="001B118A" w:rsidRPr="00593011" w:rsidRDefault="001B118A" w:rsidP="001B118A">
            <w:pPr>
              <w:numPr>
                <w:ilvl w:val="0"/>
                <w:numId w:val="2"/>
              </w:numPr>
              <w:spacing w:after="0" w:line="240" w:lineRule="auto"/>
              <w:rPr>
                <w:rFonts w:ascii="Arial" w:hAnsi="Arial" w:cs="Arial"/>
                <w:szCs w:val="20"/>
              </w:rPr>
            </w:pPr>
            <w:r w:rsidRPr="00593011">
              <w:rPr>
                <w:rFonts w:ascii="Arial" w:hAnsi="Arial" w:cs="Arial"/>
                <w:szCs w:val="20"/>
              </w:rPr>
              <w:t>Internet</w:t>
            </w:r>
          </w:p>
          <w:p w:rsidR="001B118A" w:rsidRPr="00AC5F20" w:rsidRDefault="001B118A" w:rsidP="0005779F">
            <w:pPr>
              <w:spacing w:after="0" w:line="240" w:lineRule="auto"/>
              <w:rPr>
                <w:rFonts w:ascii="Arial" w:hAnsi="Arial" w:cs="Arial"/>
                <w:szCs w:val="20"/>
              </w:rPr>
            </w:pPr>
          </w:p>
        </w:tc>
      </w:tr>
    </w:tbl>
    <w:p w:rsidR="001B118A" w:rsidRDefault="001B118A" w:rsidP="001B118A">
      <w:pPr>
        <w:rPr>
          <w:rFonts w:ascii="Arial" w:hAnsi="Arial" w:cs="Arial"/>
          <w:b/>
          <w:szCs w:val="20"/>
        </w:rPr>
      </w:pPr>
    </w:p>
    <w:p w:rsidR="001B118A" w:rsidRDefault="001B118A" w:rsidP="001B118A">
      <w:pPr>
        <w:rPr>
          <w:rFonts w:ascii="Arial" w:hAnsi="Arial" w:cs="Arial"/>
          <w:b/>
          <w:szCs w:val="20"/>
        </w:rPr>
      </w:pPr>
      <w:r>
        <w:rPr>
          <w:rFonts w:ascii="Arial" w:hAnsi="Arial" w:cs="Arial"/>
          <w:b/>
          <w:szCs w:val="20"/>
        </w:rPr>
        <w:t>Anexo Taller</w:t>
      </w:r>
    </w:p>
    <w:p w:rsidR="00761B69" w:rsidRPr="00761B69" w:rsidRDefault="00761B69" w:rsidP="00761B69">
      <w:pPr>
        <w:pStyle w:val="Prrafodelista"/>
        <w:numPr>
          <w:ilvl w:val="0"/>
          <w:numId w:val="3"/>
        </w:numPr>
        <w:rPr>
          <w:rFonts w:ascii="Arial" w:hAnsi="Arial" w:cs="Arial"/>
          <w:b/>
          <w:szCs w:val="20"/>
        </w:rPr>
      </w:pPr>
      <w:r>
        <w:rPr>
          <w:rFonts w:ascii="Arial" w:hAnsi="Arial" w:cs="Arial"/>
          <w:szCs w:val="20"/>
        </w:rPr>
        <w:t>Escribe que es guerra fría</w:t>
      </w:r>
    </w:p>
    <w:p w:rsidR="00761B69" w:rsidRPr="00761B69" w:rsidRDefault="00761B69" w:rsidP="00761B69">
      <w:pPr>
        <w:pStyle w:val="Prrafodelista"/>
        <w:numPr>
          <w:ilvl w:val="0"/>
          <w:numId w:val="3"/>
        </w:numPr>
        <w:rPr>
          <w:rFonts w:ascii="Arial" w:hAnsi="Arial" w:cs="Arial"/>
          <w:b/>
          <w:szCs w:val="20"/>
        </w:rPr>
      </w:pPr>
      <w:r>
        <w:rPr>
          <w:rFonts w:ascii="Arial" w:hAnsi="Arial" w:cs="Arial"/>
          <w:szCs w:val="20"/>
        </w:rPr>
        <w:t>Realiza una línea de tiempo donde muestres los principales conflictos que se dieron durante la guerra fría</w:t>
      </w:r>
    </w:p>
    <w:p w:rsidR="00761B69" w:rsidRPr="00761B69" w:rsidRDefault="00761B69" w:rsidP="00761B69">
      <w:pPr>
        <w:pStyle w:val="Prrafodelista"/>
        <w:numPr>
          <w:ilvl w:val="0"/>
          <w:numId w:val="3"/>
        </w:numPr>
        <w:rPr>
          <w:rFonts w:ascii="Arial" w:hAnsi="Arial" w:cs="Arial"/>
          <w:b/>
          <w:szCs w:val="20"/>
        </w:rPr>
      </w:pPr>
      <w:r>
        <w:rPr>
          <w:rFonts w:ascii="Arial" w:hAnsi="Arial" w:cs="Arial"/>
          <w:szCs w:val="20"/>
        </w:rPr>
        <w:t>Escribe la biografía de ocho mujeres colombianas que se destaquen por sus aportes a la sociedad</w:t>
      </w:r>
    </w:p>
    <w:p w:rsidR="00761B69" w:rsidRPr="00761B69" w:rsidRDefault="00761B69" w:rsidP="00761B69">
      <w:pPr>
        <w:pStyle w:val="Prrafodelista"/>
        <w:numPr>
          <w:ilvl w:val="0"/>
          <w:numId w:val="3"/>
        </w:numPr>
        <w:rPr>
          <w:rFonts w:ascii="Arial" w:hAnsi="Arial" w:cs="Arial"/>
          <w:b/>
          <w:szCs w:val="20"/>
        </w:rPr>
      </w:pPr>
      <w:r>
        <w:rPr>
          <w:rFonts w:ascii="Arial" w:hAnsi="Arial" w:cs="Arial"/>
          <w:szCs w:val="20"/>
        </w:rPr>
        <w:t>Realiza un escrito coherente de los que sucedió a nivel mundial después de la guerra fría ¿se acabó la guerra?</w:t>
      </w:r>
    </w:p>
    <w:p w:rsidR="00761B69" w:rsidRPr="00B16AF2" w:rsidRDefault="00761B69" w:rsidP="00761B69">
      <w:pPr>
        <w:pStyle w:val="Prrafodelista"/>
        <w:numPr>
          <w:ilvl w:val="0"/>
          <w:numId w:val="3"/>
        </w:numPr>
        <w:rPr>
          <w:rFonts w:ascii="Arial" w:hAnsi="Arial" w:cs="Arial"/>
          <w:b/>
          <w:szCs w:val="20"/>
        </w:rPr>
      </w:pPr>
      <w:r>
        <w:rPr>
          <w:rFonts w:ascii="Arial" w:hAnsi="Arial" w:cs="Arial"/>
          <w:szCs w:val="20"/>
        </w:rPr>
        <w:t xml:space="preserve">Elabora </w:t>
      </w:r>
      <w:r w:rsidR="00B16AF2">
        <w:rPr>
          <w:rFonts w:ascii="Arial" w:hAnsi="Arial" w:cs="Arial"/>
          <w:szCs w:val="20"/>
        </w:rPr>
        <w:t>un crucigrama de por lo menos 10</w:t>
      </w:r>
      <w:r>
        <w:rPr>
          <w:rFonts w:ascii="Arial" w:hAnsi="Arial" w:cs="Arial"/>
          <w:szCs w:val="20"/>
        </w:rPr>
        <w:t xml:space="preserve"> palabras con sus respectivas pistas sobre </w:t>
      </w:r>
      <w:r w:rsidR="00B16AF2">
        <w:rPr>
          <w:rFonts w:ascii="Arial" w:hAnsi="Arial" w:cs="Arial"/>
          <w:szCs w:val="20"/>
        </w:rPr>
        <w:t>la siguiente lectura y escribe las palabras desconocidas con su respectivo significado</w:t>
      </w:r>
    </w:p>
    <w:p w:rsidR="00B16AF2" w:rsidRPr="00B16AF2" w:rsidRDefault="00B16AF2" w:rsidP="00B16AF2">
      <w:pPr>
        <w:pStyle w:val="Prrafodelista"/>
        <w:rPr>
          <w:rFonts w:ascii="Arial" w:hAnsi="Arial" w:cs="Arial"/>
          <w:b/>
          <w:szCs w:val="20"/>
        </w:rPr>
      </w:pPr>
    </w:p>
    <w:p w:rsidR="00B16AF2" w:rsidRPr="00B16AF2" w:rsidRDefault="00B16AF2" w:rsidP="00B16AF2">
      <w:pPr>
        <w:pStyle w:val="Prrafodelista"/>
        <w:rPr>
          <w:rFonts w:ascii="Arial" w:hAnsi="Arial" w:cs="Arial"/>
          <w:sz w:val="24"/>
          <w:szCs w:val="24"/>
        </w:rPr>
      </w:pPr>
      <w:r w:rsidRPr="00B16AF2">
        <w:rPr>
          <w:rFonts w:ascii="Arial" w:hAnsi="Arial" w:cs="Arial"/>
          <w:sz w:val="24"/>
          <w:szCs w:val="24"/>
        </w:rPr>
        <w:t xml:space="preserve">La última década del siglo XX fue de gran trascendencia para América Latina, dado que en ese período se produjeron cambios importantes que constituyeron un punto de quiebre respecto de lo que venía sucediendo en la región; se trata fundamentalmente de la reactivación del crecimiento económico y la reducción de la pobreza en los primeros años de ese período. Asimismo, fue relevante la demostración del impacto que las crisis internacionales tuvieron en los países latinoamericanos, en especial durante la segunda parte de la década. En este libro se realiza un análisis de lo acaecido en el período 1990-1999 y se retoman temas de interés para la CEPAL, aplicando el mismo enfoque que ha caracterizado al Panorama social de América Latina. En primer término, se analiza un conjunto de dimensiones objetivas" —pobreza, distribución del ingreso, empleo, estratificación ocupacional, papel de la educación, transmisión intergeneracional de las oportunidades de bienestar y contribución del gasto social al mejoramiento del bienestar de la población— y sus </w:t>
      </w:r>
      <w:r w:rsidRPr="00B16AF2">
        <w:rPr>
          <w:rFonts w:ascii="Arial" w:hAnsi="Arial" w:cs="Arial"/>
          <w:sz w:val="24"/>
          <w:szCs w:val="24"/>
        </w:rPr>
        <w:lastRenderedPageBreak/>
        <w:t>interrelaciones con el crecimiento económico. Además, se recurre a los resultados de encuestas de opinión llevadas a cabo en un número importante de países, a efectos de describir la reacción subjetiva de la población latinoamericana a los cambios registrados en la década. Este contrapunto entre las dimensiones objetivas y la subjetividad individual resulta particularmente relevante, sobre todo porque el enfrentamiento de los desafíos de la agenda de desarrollo social en los próximos años exige tomar en cuenta todos estos factores, a fin de lograr un nuevo compromiso ciudadano que de respaldo a las políticas públicas aplicadas para alcanzar los objetivos de crecimiento y realce de la equidad."</w:t>
      </w:r>
    </w:p>
    <w:p w:rsidR="00B16AF2" w:rsidRDefault="00B16AF2" w:rsidP="00B16AF2">
      <w:pPr>
        <w:pStyle w:val="Prrafodelista"/>
        <w:numPr>
          <w:ilvl w:val="0"/>
          <w:numId w:val="3"/>
        </w:numPr>
        <w:rPr>
          <w:rFonts w:ascii="Arial" w:hAnsi="Arial" w:cs="Arial"/>
          <w:szCs w:val="20"/>
        </w:rPr>
      </w:pPr>
      <w:r w:rsidRPr="00B16AF2">
        <w:rPr>
          <w:rFonts w:ascii="Arial" w:hAnsi="Arial" w:cs="Arial"/>
          <w:szCs w:val="20"/>
        </w:rPr>
        <w:t>Realiza un mapamundi durante la guerra fría (1945- 1990) y otro después de la guerra fría (1991- 2000) y escribe las principales diferencias entre uno y otro</w:t>
      </w:r>
    </w:p>
    <w:p w:rsidR="00B16AF2" w:rsidRPr="00B16AF2" w:rsidRDefault="00B16AF2" w:rsidP="00B16AF2">
      <w:pPr>
        <w:pStyle w:val="Prrafodelista"/>
        <w:rPr>
          <w:rFonts w:ascii="Arial" w:hAnsi="Arial" w:cs="Arial"/>
          <w:szCs w:val="20"/>
        </w:rPr>
      </w:pPr>
    </w:p>
    <w:p w:rsidR="001B118A" w:rsidRDefault="001B118A" w:rsidP="001B118A">
      <w:pPr>
        <w:pStyle w:val="Prrafodelista"/>
        <w:rPr>
          <w:noProof/>
          <w:lang w:eastAsia="es-CO"/>
        </w:rPr>
      </w:pPr>
    </w:p>
    <w:p w:rsidR="001B118A" w:rsidRPr="000236DD" w:rsidRDefault="001B118A" w:rsidP="001B118A">
      <w:pPr>
        <w:pStyle w:val="Prrafodelista"/>
        <w:rPr>
          <w:noProof/>
          <w:lang w:eastAsia="es-CO"/>
        </w:rPr>
      </w:pPr>
    </w:p>
    <w:p w:rsidR="001B118A" w:rsidRDefault="001B118A" w:rsidP="001B118A">
      <w:pPr>
        <w:pStyle w:val="Prrafodelista"/>
        <w:rPr>
          <w:rFonts w:ascii="Arial" w:hAnsi="Arial" w:cs="Arial"/>
          <w:sz w:val="24"/>
          <w:szCs w:val="24"/>
        </w:rPr>
      </w:pPr>
    </w:p>
    <w:p w:rsidR="001B118A" w:rsidRDefault="001B118A" w:rsidP="001B118A">
      <w:pPr>
        <w:pStyle w:val="Prrafodelista"/>
        <w:spacing w:after="0"/>
        <w:jc w:val="both"/>
        <w:rPr>
          <w:rFonts w:ascii="Arial" w:hAnsi="Arial" w:cs="Arial"/>
          <w:sz w:val="24"/>
          <w:szCs w:val="24"/>
        </w:rPr>
      </w:pPr>
    </w:p>
    <w:p w:rsidR="001B118A" w:rsidRPr="001038C1" w:rsidRDefault="001B118A" w:rsidP="001B118A">
      <w:pPr>
        <w:ind w:left="720"/>
        <w:rPr>
          <w:rFonts w:ascii="Arial" w:hAnsi="Arial" w:cs="Arial"/>
          <w:b/>
          <w:szCs w:val="20"/>
        </w:rPr>
      </w:pPr>
    </w:p>
    <w:p w:rsidR="000869B9" w:rsidRDefault="00F767F5"/>
    <w:sectPr w:rsidR="000869B9" w:rsidSect="002A62DB">
      <w:pgSz w:w="12240" w:h="15840" w:code="1"/>
      <w:pgMar w:top="720" w:right="720" w:bottom="720" w:left="720" w:header="567" w:footer="1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50060"/>
    <w:multiLevelType w:val="hybridMultilevel"/>
    <w:tmpl w:val="7270B3A6"/>
    <w:lvl w:ilvl="0" w:tplc="78106A7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9A24473"/>
    <w:multiLevelType w:val="hybridMultilevel"/>
    <w:tmpl w:val="83805BA6"/>
    <w:lvl w:ilvl="0" w:tplc="0602BF68">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3112953"/>
    <w:multiLevelType w:val="hybridMultilevel"/>
    <w:tmpl w:val="2CEE18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8A"/>
    <w:rsid w:val="001B118A"/>
    <w:rsid w:val="00761B69"/>
    <w:rsid w:val="007C0C99"/>
    <w:rsid w:val="00B16AF2"/>
    <w:rsid w:val="00C060C6"/>
    <w:rsid w:val="00F767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6E1C3-0789-424F-8674-45FDCFD1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8A"/>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118A"/>
    <w:pPr>
      <w:spacing w:after="160" w:line="259" w:lineRule="auto"/>
      <w:ind w:left="720"/>
      <w:contextualSpacing/>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542</Words>
  <Characters>2985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2017-11-07T20:24:00Z</dcterms:created>
  <dcterms:modified xsi:type="dcterms:W3CDTF">2017-11-07T22:24:00Z</dcterms:modified>
</cp:coreProperties>
</file>