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3E" w:rsidRDefault="00F1023E" w:rsidP="009E3BC3">
      <w:pPr>
        <w:widowControl w:val="0"/>
        <w:autoSpaceDE w:val="0"/>
        <w:autoSpaceDN w:val="0"/>
        <w:adjustRightInd w:val="0"/>
        <w:jc w:val="center"/>
        <w:rPr>
          <w:rFonts w:ascii="Arial" w:hAnsi="Arial" w:cs="Arial"/>
          <w:b/>
          <w:color w:val="000000"/>
        </w:rPr>
      </w:pPr>
      <w:r w:rsidRPr="00562413">
        <w:rPr>
          <w:rFonts w:ascii="Arial" w:hAnsi="Arial" w:cs="Arial"/>
          <w:b/>
          <w:color w:val="000000"/>
        </w:rPr>
        <w:t>SUSTENTACIÓN TEORICA</w:t>
      </w:r>
      <w:r w:rsidR="009E3BC3">
        <w:rPr>
          <w:rFonts w:ascii="Arial" w:hAnsi="Arial" w:cs="Arial"/>
          <w:b/>
          <w:color w:val="000000"/>
        </w:rPr>
        <w:t xml:space="preserve"> DE LA MEDIA TÉCNICA</w:t>
      </w:r>
    </w:p>
    <w:p w:rsidR="00F1023E" w:rsidRPr="00562413" w:rsidRDefault="00F1023E" w:rsidP="00F1023E">
      <w:pPr>
        <w:widowControl w:val="0"/>
        <w:autoSpaceDE w:val="0"/>
        <w:autoSpaceDN w:val="0"/>
        <w:adjustRightInd w:val="0"/>
        <w:jc w:val="center"/>
        <w:rPr>
          <w:rFonts w:ascii="Arial" w:hAnsi="Arial" w:cs="Arial"/>
          <w:b/>
          <w:color w:val="000000"/>
        </w:rPr>
      </w:pPr>
    </w:p>
    <w:p w:rsidR="00F1023E"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 xml:space="preserve">El proceso de diversificación de la educación media en Colombia ha tenido un desarrollo curvado a lo largo del siglo XX. Ya desde los primeros decenios se perfilaban planteamientos y disposiciones normativas tendientes a incentivar modalidades diferentes de las del bachillerato clásico y que proporcionaran mano de obra capacitada en los ramos relacionados con el comercio, la agricultura, la industria y el magisterio. Pero solo a partir de la mitad de siglo que estas ideas empezaron a cobrar importancia dentro del sistema educativo nacional y es a partir de 1994 con la ley 115 que queda reglamentada. La fragmentación de dos tipos de educación media es un rezago de la educación del siglo IXX, que no se ha podido superar en los inicios del siglo XXI en nuestro país. Hoy es imposible separar el conocimiento de las ciencias de la tecnología. Diferentes estudios (misión de educación técnica, tecnológica y  profesional) han evaluado la educación media técnica y en general se ha llegado a la conclusión, que se caracteriza por concebirse como un paso o puente hacia la educación superior. </w:t>
      </w:r>
    </w:p>
    <w:p w:rsidR="00F1023E" w:rsidRPr="00562413" w:rsidRDefault="00F1023E" w:rsidP="00F1023E">
      <w:pPr>
        <w:widowControl w:val="0"/>
        <w:autoSpaceDE w:val="0"/>
        <w:autoSpaceDN w:val="0"/>
        <w:adjustRightInd w:val="0"/>
        <w:jc w:val="both"/>
        <w:rPr>
          <w:rFonts w:ascii="Arial" w:hAnsi="Arial" w:cs="Arial"/>
          <w:color w:val="000000"/>
          <w:lang w:val="es-ES_tradnl"/>
        </w:rPr>
      </w:pPr>
    </w:p>
    <w:p w:rsidR="00F1023E" w:rsidRDefault="00F1023E" w:rsidP="00F1023E">
      <w:pPr>
        <w:widowControl w:val="0"/>
        <w:tabs>
          <w:tab w:val="left" w:pos="0"/>
          <w:tab w:val="left" w:pos="720"/>
        </w:tabs>
        <w:autoSpaceDE w:val="0"/>
        <w:autoSpaceDN w:val="0"/>
        <w:adjustRightInd w:val="0"/>
        <w:ind w:right="29"/>
        <w:jc w:val="both"/>
        <w:rPr>
          <w:rFonts w:ascii="Arial" w:hAnsi="Arial" w:cs="Arial"/>
          <w:color w:val="000000"/>
          <w:lang w:val="es-MX"/>
        </w:rPr>
      </w:pPr>
      <w:r w:rsidRPr="00562413">
        <w:rPr>
          <w:rFonts w:ascii="Arial" w:hAnsi="Arial" w:cs="Arial"/>
          <w:color w:val="000000"/>
          <w:lang w:val="es-ES_tradnl"/>
        </w:rPr>
        <w:t xml:space="preserve">Teniendo en cuenta la historia nacional con respecto a la educación media técnica, cabe resaltar que en </w:t>
      </w:r>
      <w:r w:rsidRPr="00562413">
        <w:rPr>
          <w:rFonts w:ascii="Arial" w:hAnsi="Arial" w:cs="Arial"/>
          <w:color w:val="000000"/>
          <w:lang w:val="es-MX"/>
        </w:rPr>
        <w:t xml:space="preserve">Antioquia solo el 49% de sus instituciones tienen educación media técnica y el 35% de ellas están ubicadas en el Valle de Aburra. De 46.839 estudiantes de Educación Media, solo el 27% lo están en Media Técnica y el 61% de instituciones que tienen este tipo de educación lo hacen en alianza con el SENA, y una minoría tiene articulación con otras instituciones de educación superior. </w:t>
      </w:r>
    </w:p>
    <w:p w:rsidR="00F1023E" w:rsidRPr="00562413" w:rsidRDefault="00F1023E" w:rsidP="00F1023E">
      <w:pPr>
        <w:widowControl w:val="0"/>
        <w:tabs>
          <w:tab w:val="left" w:pos="0"/>
          <w:tab w:val="left" w:pos="720"/>
        </w:tabs>
        <w:autoSpaceDE w:val="0"/>
        <w:autoSpaceDN w:val="0"/>
        <w:adjustRightInd w:val="0"/>
        <w:ind w:right="29"/>
        <w:jc w:val="both"/>
        <w:rPr>
          <w:rFonts w:ascii="Arial" w:hAnsi="Arial" w:cs="Arial"/>
          <w:color w:val="000000"/>
          <w:lang w:val="es-MX"/>
        </w:rPr>
      </w:pPr>
    </w:p>
    <w:p w:rsidR="00F1023E"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Según la ley 749 de Julio 19 de 2002, las instituciones técnicas profesionales y tecnológicas de educación superior, organizarán su actividad formativa de pregrado en ciclos propedéuticos de formación en las áreas de las ingenierías, la tecnología de la información y la administración, así:</w:t>
      </w:r>
    </w:p>
    <w:p w:rsidR="00F1023E" w:rsidRPr="00562413" w:rsidRDefault="00F1023E" w:rsidP="00F1023E">
      <w:pPr>
        <w:widowControl w:val="0"/>
        <w:autoSpaceDE w:val="0"/>
        <w:autoSpaceDN w:val="0"/>
        <w:adjustRightInd w:val="0"/>
        <w:jc w:val="both"/>
        <w:rPr>
          <w:rFonts w:ascii="Arial" w:hAnsi="Arial" w:cs="Arial"/>
          <w:color w:val="000000"/>
          <w:lang w:val="es-ES_tradnl"/>
        </w:rPr>
      </w:pPr>
    </w:p>
    <w:p w:rsidR="00F1023E" w:rsidRPr="00562413"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a) El primer ciclo, estará orientado a generar competencias y desarrollo intelectual como el de aptitudes, habilidades y destrezas al impartir conocimientos técnicos necesarios para el desempeño laboral en una actividad, en áreas específicas de los sectores productivo y de servicios, que conducirá al título de Técnico Profesional en</w:t>
      </w:r>
      <w:r>
        <w:rPr>
          <w:rFonts w:ascii="Arial" w:hAnsi="Arial" w:cs="Arial"/>
          <w:color w:val="000000"/>
          <w:lang w:val="es-ES_tradnl"/>
        </w:rPr>
        <w:t xml:space="preserve"> Programación de Software y Sistemas.</w:t>
      </w:r>
    </w:p>
    <w:p w:rsidR="00F1023E" w:rsidRPr="00562413"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 xml:space="preserve">La formación técnica profesional comprende tareas relacionadas con actividades técnicas que pueden realizarse autónomamente, habilitando para comportar responsabilidades de programación y coordinación; </w:t>
      </w:r>
    </w:p>
    <w:p w:rsidR="00F1023E" w:rsidRPr="00562413"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b) El segundo ciclo, ofrecerá una formación básica común, que se fundamente y apropie de los conocimientos científicos y la comprensión teórica para la formación de un pensamiento innovador e inteligente, con capacidad de diseñar, construir, ejecutar, controlar, transformar y operar los medios y procesos que han de favorecer la acción del hombre en la solución de problemas que demandan los sectores productivos y de servicios del país.</w:t>
      </w:r>
    </w:p>
    <w:p w:rsidR="00F1023E" w:rsidRPr="00562413"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 xml:space="preserve">La formación tecnológica comprende el desarrollo de responsabilidades de concepción, dirección y gestión de conformidad con la especificidad del programa, y conducirá al título de Tecnólogo en el área respectiva; </w:t>
      </w:r>
    </w:p>
    <w:p w:rsidR="00F1023E" w:rsidRPr="00562413"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c) El tercer ciclo, complementará el segundo ciclo, en la respectiva área del conocimiento, de forma coherente, con la fundamentación teórica y la propuesta metodológica de la profesión, y debe hacer explícitos los principios y propósitos que la orientan desde una perspectiva integral, considerando, entre otros aspectos, las características y competencias que se espera posea el futuro profesional. Este ciclo permite el ejercicio autónomo de actividades profesionales de alto nivel, e implica el dominio de conocimientos científicos y técnicos y conducirá al título de Técnico Profesional en</w:t>
      </w:r>
      <w:r>
        <w:rPr>
          <w:rFonts w:ascii="Arial" w:hAnsi="Arial" w:cs="Arial"/>
          <w:color w:val="000000"/>
          <w:lang w:val="es-ES_tradnl"/>
        </w:rPr>
        <w:t xml:space="preserve"> Programación de Software y Sistemas.</w:t>
      </w:r>
    </w:p>
    <w:p w:rsidR="00F1023E" w:rsidRPr="00562413" w:rsidRDefault="00F1023E" w:rsidP="00F1023E">
      <w:pPr>
        <w:widowControl w:val="0"/>
        <w:autoSpaceDE w:val="0"/>
        <w:autoSpaceDN w:val="0"/>
        <w:adjustRightInd w:val="0"/>
        <w:jc w:val="both"/>
        <w:rPr>
          <w:rFonts w:ascii="Arial" w:hAnsi="Arial" w:cs="Arial"/>
          <w:color w:val="000000"/>
          <w:lang w:val="es-ES_tradnl"/>
        </w:rPr>
      </w:pPr>
    </w:p>
    <w:p w:rsidR="00F1023E"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 xml:space="preserve">Las instituciones técnicas profesionales y tecnológicas de educación superior en forma coherente con la formación alcanzada en cada ciclo, podrán ofrecer programas de especialización en un </w:t>
      </w:r>
      <w:r w:rsidRPr="00562413">
        <w:rPr>
          <w:rFonts w:ascii="Arial" w:hAnsi="Arial" w:cs="Arial"/>
          <w:color w:val="000000"/>
          <w:lang w:val="es-ES_tradnl"/>
        </w:rPr>
        <w:lastRenderedPageBreak/>
        <w:t xml:space="preserve">campo específico del área técnica, tecnológica y/o profesional. </w:t>
      </w:r>
    </w:p>
    <w:p w:rsidR="00F1023E" w:rsidRDefault="00F1023E" w:rsidP="00F1023E">
      <w:pPr>
        <w:widowControl w:val="0"/>
        <w:autoSpaceDE w:val="0"/>
        <w:autoSpaceDN w:val="0"/>
        <w:adjustRightInd w:val="0"/>
        <w:jc w:val="both"/>
        <w:rPr>
          <w:rFonts w:ascii="Arial" w:hAnsi="Arial" w:cs="Arial"/>
          <w:color w:val="000000"/>
          <w:lang w:val="es-ES_tradnl"/>
        </w:rPr>
      </w:pPr>
    </w:p>
    <w:p w:rsidR="00F1023E" w:rsidRPr="00562413"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 xml:space="preserve">Estas interacciones mutuas implican que cualquier intervención en alguno de los niveles educativos genera efectos en otros niveles del sistema educativo. Así mismo, la eficacia de esa intervención depende de cambios correspondientes en los otros niveles. Por ejemplo, la conformación de los patrones de demanda por Educación Superior dependen, en gran medida, de las características internas de la Educación Media, particularmente las siguientes: </w:t>
      </w:r>
    </w:p>
    <w:p w:rsidR="00F1023E" w:rsidRPr="00562413" w:rsidRDefault="00F1023E" w:rsidP="00F1023E">
      <w:pPr>
        <w:widowControl w:val="0"/>
        <w:numPr>
          <w:ilvl w:val="0"/>
          <w:numId w:val="1"/>
        </w:numPr>
        <w:tabs>
          <w:tab w:val="left" w:pos="720"/>
        </w:tabs>
        <w:autoSpaceDE w:val="0"/>
        <w:autoSpaceDN w:val="0"/>
        <w:adjustRightInd w:val="0"/>
        <w:ind w:left="720" w:hanging="360"/>
        <w:jc w:val="both"/>
        <w:rPr>
          <w:rFonts w:ascii="Arial" w:hAnsi="Arial" w:cs="Arial"/>
          <w:color w:val="000000"/>
          <w:lang w:val="es-ES_tradnl"/>
        </w:rPr>
      </w:pPr>
      <w:r w:rsidRPr="00562413">
        <w:rPr>
          <w:rFonts w:ascii="Arial" w:hAnsi="Arial" w:cs="Arial"/>
          <w:color w:val="000000"/>
          <w:lang w:val="es-ES_tradnl"/>
        </w:rPr>
        <w:t>Prevalencia de la educación llamada ‘académica’ sobre la educación técnica u otras modalidades de diversificación de la oferta curricular;</w:t>
      </w:r>
    </w:p>
    <w:p w:rsidR="00F1023E" w:rsidRPr="00562413" w:rsidRDefault="00F1023E" w:rsidP="00F1023E">
      <w:pPr>
        <w:widowControl w:val="0"/>
        <w:numPr>
          <w:ilvl w:val="0"/>
          <w:numId w:val="2"/>
        </w:numPr>
        <w:tabs>
          <w:tab w:val="left" w:pos="720"/>
        </w:tabs>
        <w:autoSpaceDE w:val="0"/>
        <w:autoSpaceDN w:val="0"/>
        <w:adjustRightInd w:val="0"/>
        <w:ind w:left="720" w:hanging="360"/>
        <w:jc w:val="both"/>
        <w:rPr>
          <w:rFonts w:ascii="Arial" w:hAnsi="Arial" w:cs="Arial"/>
          <w:color w:val="000000"/>
          <w:lang w:val="es-ES_tradnl"/>
        </w:rPr>
      </w:pPr>
      <w:r w:rsidRPr="00562413">
        <w:rPr>
          <w:rFonts w:ascii="Arial" w:hAnsi="Arial" w:cs="Arial"/>
          <w:color w:val="000000"/>
          <w:lang w:val="es-ES_tradnl"/>
        </w:rPr>
        <w:t>El papel social que se le asigna a la Educación Media como ‘nivel de paso’ hacia la Educación Superior;</w:t>
      </w:r>
    </w:p>
    <w:p w:rsidR="00F1023E" w:rsidRPr="00562413" w:rsidRDefault="00F1023E" w:rsidP="00F1023E">
      <w:pPr>
        <w:widowControl w:val="0"/>
        <w:numPr>
          <w:ilvl w:val="0"/>
          <w:numId w:val="3"/>
        </w:numPr>
        <w:tabs>
          <w:tab w:val="left" w:pos="720"/>
        </w:tabs>
        <w:autoSpaceDE w:val="0"/>
        <w:autoSpaceDN w:val="0"/>
        <w:adjustRightInd w:val="0"/>
        <w:ind w:left="720" w:hanging="360"/>
        <w:jc w:val="both"/>
        <w:rPr>
          <w:rFonts w:ascii="Arial" w:hAnsi="Arial" w:cs="Arial"/>
          <w:color w:val="000000"/>
          <w:lang w:val="es-ES_tradnl"/>
        </w:rPr>
      </w:pPr>
      <w:r w:rsidRPr="00562413">
        <w:rPr>
          <w:rFonts w:ascii="Arial" w:hAnsi="Arial" w:cs="Arial"/>
          <w:color w:val="000000"/>
          <w:lang w:val="es-ES_tradnl"/>
        </w:rPr>
        <w:t>Las oportunidades existentes de exploración de intereses y capacidades respecto a la gran diversidad de saberes, profesiones y ocupaciones;</w:t>
      </w:r>
    </w:p>
    <w:p w:rsidR="00F1023E" w:rsidRPr="00562413" w:rsidRDefault="00F1023E" w:rsidP="00F1023E">
      <w:pPr>
        <w:widowControl w:val="0"/>
        <w:numPr>
          <w:ilvl w:val="0"/>
          <w:numId w:val="4"/>
        </w:numPr>
        <w:tabs>
          <w:tab w:val="left" w:pos="720"/>
        </w:tabs>
        <w:autoSpaceDE w:val="0"/>
        <w:autoSpaceDN w:val="0"/>
        <w:adjustRightInd w:val="0"/>
        <w:ind w:left="720" w:hanging="360"/>
        <w:jc w:val="both"/>
        <w:rPr>
          <w:rFonts w:ascii="Arial" w:hAnsi="Arial" w:cs="Arial"/>
          <w:color w:val="000000"/>
          <w:lang w:val="es-ES_tradnl"/>
        </w:rPr>
      </w:pPr>
      <w:r w:rsidRPr="00562413">
        <w:rPr>
          <w:rFonts w:ascii="Arial" w:hAnsi="Arial" w:cs="Arial"/>
          <w:color w:val="000000"/>
          <w:lang w:val="es-ES_tradnl"/>
        </w:rPr>
        <w:t xml:space="preserve">Los modelos y estereotipos prevalecientes de rol social y ocupacional, que conforman y refuerzan las jerarquías de estatus entre las diversas áreas del saber, profesiones y ocupaciones. </w:t>
      </w:r>
    </w:p>
    <w:p w:rsidR="00F1023E" w:rsidRDefault="00F1023E" w:rsidP="00F1023E">
      <w:pPr>
        <w:widowControl w:val="0"/>
        <w:autoSpaceDE w:val="0"/>
        <w:autoSpaceDN w:val="0"/>
        <w:adjustRightInd w:val="0"/>
        <w:jc w:val="both"/>
        <w:rPr>
          <w:rFonts w:ascii="Arial" w:hAnsi="Arial" w:cs="Arial"/>
          <w:b/>
          <w:color w:val="000000"/>
          <w:lang w:val="es-ES_tradnl"/>
        </w:rPr>
      </w:pPr>
    </w:p>
    <w:p w:rsidR="00F1023E" w:rsidRPr="00562413" w:rsidRDefault="00F1023E" w:rsidP="00F1023E">
      <w:pPr>
        <w:widowControl w:val="0"/>
        <w:autoSpaceDE w:val="0"/>
        <w:autoSpaceDN w:val="0"/>
        <w:adjustRightInd w:val="0"/>
        <w:jc w:val="both"/>
        <w:rPr>
          <w:rFonts w:ascii="Arial" w:hAnsi="Arial" w:cs="Arial"/>
          <w:b/>
          <w:color w:val="000000"/>
          <w:lang w:val="es-ES_tradnl"/>
        </w:rPr>
      </w:pPr>
    </w:p>
    <w:p w:rsidR="00F1023E" w:rsidRDefault="009E3BC3" w:rsidP="00F1023E">
      <w:pPr>
        <w:keepNext/>
        <w:widowControl w:val="0"/>
        <w:autoSpaceDE w:val="0"/>
        <w:autoSpaceDN w:val="0"/>
        <w:adjustRightInd w:val="0"/>
        <w:rPr>
          <w:rFonts w:ascii="Arial" w:hAnsi="Arial" w:cs="Arial"/>
          <w:b/>
          <w:caps/>
          <w:color w:val="000000"/>
          <w:lang w:val="es-ES_tradnl"/>
        </w:rPr>
      </w:pPr>
      <w:r>
        <w:rPr>
          <w:rFonts w:ascii="Arial" w:hAnsi="Arial" w:cs="Arial"/>
          <w:b/>
          <w:caps/>
          <w:color w:val="000000"/>
          <w:lang w:val="es-ES_tradnl"/>
        </w:rPr>
        <w:t>OBJETIVOS</w:t>
      </w:r>
      <w:r w:rsidR="00F1023E" w:rsidRPr="00562413">
        <w:rPr>
          <w:rFonts w:ascii="Arial" w:hAnsi="Arial" w:cs="Arial"/>
          <w:b/>
          <w:caps/>
          <w:color w:val="000000"/>
          <w:lang w:val="es-ES_tradnl"/>
        </w:rPr>
        <w:t xml:space="preserve"> DE LA EDUCACIÓN MEDIA TÉCNICA EN LA INSTITUCIÓN</w:t>
      </w:r>
    </w:p>
    <w:p w:rsidR="00F1023E" w:rsidRPr="00562413" w:rsidRDefault="00F1023E" w:rsidP="00F1023E">
      <w:pPr>
        <w:keepNext/>
        <w:widowControl w:val="0"/>
        <w:autoSpaceDE w:val="0"/>
        <w:autoSpaceDN w:val="0"/>
        <w:adjustRightInd w:val="0"/>
        <w:jc w:val="center"/>
        <w:rPr>
          <w:rFonts w:ascii="Arial" w:hAnsi="Arial" w:cs="Arial"/>
          <w:b/>
          <w:caps/>
          <w:color w:val="000000"/>
          <w:lang w:val="es-ES_tradnl"/>
        </w:rPr>
      </w:pPr>
    </w:p>
    <w:p w:rsidR="00F1023E" w:rsidRPr="00562413"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En este mismo orden de ideas los grandes retos que ha estado enfrentando la educación  media técnica son:</w:t>
      </w:r>
    </w:p>
    <w:p w:rsidR="00F1023E" w:rsidRPr="00562413" w:rsidRDefault="00F1023E" w:rsidP="00F1023E">
      <w:pPr>
        <w:widowControl w:val="0"/>
        <w:numPr>
          <w:ilvl w:val="0"/>
          <w:numId w:val="5"/>
        </w:numPr>
        <w:tabs>
          <w:tab w:val="left" w:pos="360"/>
        </w:tabs>
        <w:autoSpaceDE w:val="0"/>
        <w:autoSpaceDN w:val="0"/>
        <w:adjustRightInd w:val="0"/>
        <w:ind w:left="360" w:hanging="360"/>
        <w:jc w:val="both"/>
        <w:rPr>
          <w:rFonts w:ascii="Arial" w:hAnsi="Arial" w:cs="Arial"/>
          <w:color w:val="000000"/>
          <w:lang w:val="es-ES_tradnl"/>
        </w:rPr>
      </w:pPr>
      <w:r w:rsidRPr="00562413">
        <w:rPr>
          <w:rFonts w:ascii="Arial" w:hAnsi="Arial" w:cs="Arial"/>
          <w:color w:val="000000"/>
          <w:lang w:val="es-ES_tradnl"/>
        </w:rPr>
        <w:t xml:space="preserve">Mejorar la calidad y la pertinencia de la oferta educativa. La Institución Educativa Rodrigo Lara Bonilla, ha estado asumiendo como el más profundo desafío, mejorar la calidad de la oferta educativa y proponer a la comunidad un programa pertinente a los nuevos avances tecnológicos y a las necesidades del entorno. </w:t>
      </w:r>
    </w:p>
    <w:p w:rsidR="00F1023E" w:rsidRPr="00562413" w:rsidRDefault="00F1023E" w:rsidP="00F1023E">
      <w:pPr>
        <w:widowControl w:val="0"/>
        <w:numPr>
          <w:ilvl w:val="0"/>
          <w:numId w:val="6"/>
        </w:numPr>
        <w:tabs>
          <w:tab w:val="left" w:pos="360"/>
        </w:tabs>
        <w:autoSpaceDE w:val="0"/>
        <w:autoSpaceDN w:val="0"/>
        <w:adjustRightInd w:val="0"/>
        <w:ind w:left="360" w:hanging="360"/>
        <w:jc w:val="both"/>
        <w:rPr>
          <w:rFonts w:ascii="Arial" w:hAnsi="Arial" w:cs="Arial"/>
          <w:color w:val="000000"/>
          <w:lang w:val="es-ES_tradnl"/>
        </w:rPr>
      </w:pPr>
      <w:r w:rsidRPr="00562413">
        <w:rPr>
          <w:rFonts w:ascii="Arial" w:hAnsi="Arial" w:cs="Arial"/>
          <w:color w:val="000000"/>
          <w:lang w:val="es-ES_tradnl"/>
        </w:rPr>
        <w:t xml:space="preserve">Garantiza su actualización continua y, en consecuencia, la mejora de los procesos de aprendizaje y el desarrollo de competencias que demanda el mundo moderno. </w:t>
      </w:r>
    </w:p>
    <w:p w:rsidR="00F1023E" w:rsidRPr="00562413" w:rsidRDefault="00F1023E" w:rsidP="00F1023E">
      <w:pPr>
        <w:widowControl w:val="0"/>
        <w:numPr>
          <w:ilvl w:val="0"/>
          <w:numId w:val="7"/>
        </w:numPr>
        <w:tabs>
          <w:tab w:val="left" w:pos="360"/>
        </w:tabs>
        <w:autoSpaceDE w:val="0"/>
        <w:autoSpaceDN w:val="0"/>
        <w:adjustRightInd w:val="0"/>
        <w:ind w:left="360" w:hanging="360"/>
        <w:jc w:val="both"/>
        <w:rPr>
          <w:rFonts w:ascii="Arial" w:hAnsi="Arial" w:cs="Arial"/>
          <w:color w:val="000000"/>
          <w:lang w:val="es-ES_tradnl"/>
        </w:rPr>
      </w:pPr>
      <w:r w:rsidRPr="00562413">
        <w:rPr>
          <w:rFonts w:ascii="Arial" w:hAnsi="Arial" w:cs="Arial"/>
          <w:color w:val="000000"/>
          <w:lang w:val="es-ES_tradnl"/>
        </w:rPr>
        <w:t>Asegurar el adecuado tránsito del estudiante hacia el nivel superior o su inserción en un mundo laboral calificado; a través de la articulación con el SENA.</w:t>
      </w:r>
    </w:p>
    <w:p w:rsidR="00F1023E" w:rsidRPr="00562413" w:rsidRDefault="00F1023E" w:rsidP="00F1023E">
      <w:pPr>
        <w:widowControl w:val="0"/>
        <w:numPr>
          <w:ilvl w:val="0"/>
          <w:numId w:val="8"/>
        </w:numPr>
        <w:tabs>
          <w:tab w:val="left" w:pos="360"/>
        </w:tabs>
        <w:autoSpaceDE w:val="0"/>
        <w:autoSpaceDN w:val="0"/>
        <w:adjustRightInd w:val="0"/>
        <w:ind w:left="360" w:hanging="360"/>
        <w:jc w:val="both"/>
        <w:rPr>
          <w:rFonts w:ascii="Arial" w:hAnsi="Arial" w:cs="Arial"/>
          <w:color w:val="000000"/>
          <w:lang w:val="es-ES_tradnl"/>
        </w:rPr>
      </w:pPr>
      <w:r w:rsidRPr="00562413">
        <w:rPr>
          <w:rFonts w:ascii="Arial" w:hAnsi="Arial" w:cs="Arial"/>
          <w:color w:val="000000"/>
          <w:lang w:val="es-ES_tradnl"/>
        </w:rPr>
        <w:t>Alcanzar la incorporación de sus egresados en el entorno ciudadano de tal manera que se garantice el fortalecimiento del tejido social.</w:t>
      </w:r>
    </w:p>
    <w:p w:rsidR="00F1023E" w:rsidRPr="00562413" w:rsidRDefault="00F1023E" w:rsidP="00F1023E">
      <w:pPr>
        <w:widowControl w:val="0"/>
        <w:tabs>
          <w:tab w:val="left" w:pos="360"/>
        </w:tabs>
        <w:autoSpaceDE w:val="0"/>
        <w:autoSpaceDN w:val="0"/>
        <w:adjustRightInd w:val="0"/>
        <w:ind w:left="360"/>
        <w:jc w:val="both"/>
        <w:rPr>
          <w:rFonts w:ascii="Arial" w:hAnsi="Arial" w:cs="Arial"/>
          <w:color w:val="000000"/>
          <w:lang w:val="es-ES_tradnl"/>
        </w:rPr>
      </w:pPr>
    </w:p>
    <w:p w:rsidR="00F1023E" w:rsidRPr="00562413" w:rsidRDefault="00F1023E" w:rsidP="00F1023E">
      <w:pPr>
        <w:jc w:val="both"/>
        <w:rPr>
          <w:rFonts w:ascii="Arial" w:hAnsi="Arial" w:cs="Arial"/>
        </w:rPr>
      </w:pPr>
      <w:r w:rsidRPr="00562413">
        <w:rPr>
          <w:rFonts w:ascii="Arial" w:hAnsi="Arial" w:cs="Arial"/>
          <w:color w:val="000000"/>
          <w:lang w:val="es-ES_tradnl"/>
        </w:rPr>
        <w:t>Así construye una educación pertinente y de calidad, que posibilita el desarrollo de competencias básicas, generales y específicas, para que las estudiantes puedan desempeñarse en un mundo de tecnologías cambiantes y altamente competitivas.</w:t>
      </w:r>
    </w:p>
    <w:p w:rsidR="00F1023E" w:rsidRPr="00562413" w:rsidRDefault="00F1023E" w:rsidP="00F1023E">
      <w:pPr>
        <w:rPr>
          <w:rFonts w:ascii="Arial" w:hAnsi="Arial" w:cs="Arial"/>
        </w:rPr>
      </w:pPr>
    </w:p>
    <w:p w:rsidR="00F1023E" w:rsidRDefault="00F1023E" w:rsidP="009E3BC3">
      <w:pPr>
        <w:keepNext/>
        <w:widowControl w:val="0"/>
        <w:autoSpaceDE w:val="0"/>
        <w:autoSpaceDN w:val="0"/>
        <w:adjustRightInd w:val="0"/>
        <w:jc w:val="center"/>
        <w:rPr>
          <w:rFonts w:ascii="Arial" w:hAnsi="Arial" w:cs="Arial"/>
          <w:b/>
          <w:caps/>
          <w:color w:val="000000"/>
          <w:lang w:val="es-ES_tradnl"/>
        </w:rPr>
      </w:pPr>
      <w:r w:rsidRPr="00562413">
        <w:rPr>
          <w:rFonts w:ascii="Arial" w:hAnsi="Arial" w:cs="Arial"/>
          <w:b/>
          <w:caps/>
          <w:color w:val="000000"/>
          <w:lang w:val="es-ES_tradnl"/>
        </w:rPr>
        <w:t>FUNDAMENTACION LEGAL</w:t>
      </w:r>
    </w:p>
    <w:p w:rsidR="00F1023E" w:rsidRPr="00562413" w:rsidRDefault="00F1023E" w:rsidP="00F1023E">
      <w:pPr>
        <w:keepNext/>
        <w:widowControl w:val="0"/>
        <w:autoSpaceDE w:val="0"/>
        <w:autoSpaceDN w:val="0"/>
        <w:adjustRightInd w:val="0"/>
        <w:jc w:val="center"/>
        <w:rPr>
          <w:rFonts w:ascii="Arial" w:hAnsi="Arial" w:cs="Arial"/>
          <w:b/>
          <w:caps/>
          <w:color w:val="000000"/>
          <w:lang w:val="es-ES_tradnl"/>
        </w:rPr>
      </w:pPr>
    </w:p>
    <w:p w:rsidR="00F1023E"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El Decreto 080 de 1974, propone descubrir y desarrollar la vocación de los estudiantes.  Fue la puerta al proceso con el que hoy se pretende dar respuesta: la formación de bachilleres técnicos.</w:t>
      </w:r>
    </w:p>
    <w:p w:rsidR="00F1023E" w:rsidRPr="00562413" w:rsidRDefault="00F1023E" w:rsidP="00F1023E">
      <w:pPr>
        <w:widowControl w:val="0"/>
        <w:autoSpaceDE w:val="0"/>
        <w:autoSpaceDN w:val="0"/>
        <w:adjustRightInd w:val="0"/>
        <w:jc w:val="both"/>
        <w:rPr>
          <w:rFonts w:ascii="Arial" w:hAnsi="Arial" w:cs="Arial"/>
          <w:color w:val="000000"/>
          <w:lang w:val="es-ES_tradnl"/>
        </w:rPr>
      </w:pPr>
    </w:p>
    <w:p w:rsidR="00F1023E"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Para la época los colegios hicieron una aproximación temporal a lo que se denominó modalidades y énfasis.  Su pretensión fue la de entregar herramientas para la inserción laboral, en un país que reclamaba y sigue reclamando mano de obra calificada  a precios que permitieran adelantar procesos productivos con altos grados de rentabilidad.</w:t>
      </w:r>
    </w:p>
    <w:p w:rsidR="00F1023E" w:rsidRPr="00562413" w:rsidRDefault="00F1023E" w:rsidP="00F1023E">
      <w:pPr>
        <w:widowControl w:val="0"/>
        <w:autoSpaceDE w:val="0"/>
        <w:autoSpaceDN w:val="0"/>
        <w:adjustRightInd w:val="0"/>
        <w:jc w:val="both"/>
        <w:rPr>
          <w:rFonts w:ascii="Arial" w:hAnsi="Arial" w:cs="Arial"/>
          <w:color w:val="000000"/>
          <w:lang w:val="es-ES_tradnl"/>
        </w:rPr>
      </w:pPr>
    </w:p>
    <w:p w:rsidR="00F1023E"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 xml:space="preserve">Para 1994 la Ley 115, refuerza aún más la necesidad de la formación técnica específica y en su artículo 32, establece la necesidad de preparar al estudiante para el desempeño laboral y el acceso a la educación superior.  Años antes, 1992, la Ley 30 que reglamentó el sistema de Educación Superior, en su artículo 6, establece que uno de los objetivos de este servicio educativo </w:t>
      </w:r>
      <w:r w:rsidRPr="00562413">
        <w:rPr>
          <w:rFonts w:ascii="Arial" w:hAnsi="Arial" w:cs="Arial"/>
          <w:color w:val="000000"/>
          <w:lang w:val="es-ES_tradnl"/>
        </w:rPr>
        <w:lastRenderedPageBreak/>
        <w:t>es:  “Contribuir al desarrollo de los niveles educativos que le preceden para facilitar el logro de sus correspondientes fines  (Literal f).   El literal g asegura que “La Educación Superior debe promover la unidad nacional, la descentralización, la integración regional y la cooperación internacional a fin de que las diferentes zonas del país dispongan de los recursos humanos y las tecnologías apropiadas para atender sus necesidades”.</w:t>
      </w:r>
    </w:p>
    <w:p w:rsidR="00F1023E" w:rsidRPr="00562413" w:rsidRDefault="00F1023E" w:rsidP="00F1023E">
      <w:pPr>
        <w:widowControl w:val="0"/>
        <w:autoSpaceDE w:val="0"/>
        <w:autoSpaceDN w:val="0"/>
        <w:adjustRightInd w:val="0"/>
        <w:jc w:val="both"/>
        <w:rPr>
          <w:rFonts w:ascii="Arial" w:hAnsi="Arial" w:cs="Arial"/>
          <w:color w:val="000000"/>
          <w:lang w:val="es-ES_tradnl"/>
        </w:rPr>
      </w:pPr>
    </w:p>
    <w:p w:rsidR="00F1023E"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 xml:space="preserve">Se desprende de lo anterior la urgente necesidad nacional de impartir Educación Técnica como factor generador de empleo y de posibilidades de acceso a la educación superior.  La Ley 115 lo formula en sus fines (Artículo 5), en sus objetivos (artículo 13) y  en el artículo 33 explicita los objetivos de la Educación Media Técnica. </w:t>
      </w:r>
    </w:p>
    <w:p w:rsidR="00F1023E" w:rsidRPr="00562413" w:rsidRDefault="00F1023E" w:rsidP="00F1023E">
      <w:pPr>
        <w:widowControl w:val="0"/>
        <w:autoSpaceDE w:val="0"/>
        <w:autoSpaceDN w:val="0"/>
        <w:adjustRightInd w:val="0"/>
        <w:jc w:val="both"/>
        <w:rPr>
          <w:rFonts w:ascii="Arial" w:hAnsi="Arial" w:cs="Arial"/>
          <w:color w:val="000000"/>
          <w:lang w:val="es-ES_tradnl"/>
        </w:rPr>
      </w:pPr>
    </w:p>
    <w:p w:rsidR="00F1023E" w:rsidRPr="00562413"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 xml:space="preserve">La Resolución 2343 de 1996, direcciona el componente de tecnología e informática de la Educación Media.  Hace énfasis en “Pertinencia y significado de los saberes mediante el desarrollo y evaluación de procesos que integren lo cognitivo, lo práctico y lo valorativo”.  También se reafirma la necesidad de desarrollar la capacidad para argumentar en torno a  la solución de tipo tecnológico a problemas locales, a partir de la  experiencia y la apropiación de saberes. </w:t>
      </w:r>
    </w:p>
    <w:p w:rsidR="00F1023E"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La Ley 749 de Junio de 2000 enfatiza, en el artículo 4,   la necesidad de hacer formación en las áreas de las ingenierías, la tecnología de la información y al administración, en los ciclos propedéuticos</w:t>
      </w:r>
      <w:r>
        <w:rPr>
          <w:rFonts w:ascii="Arial" w:hAnsi="Arial" w:cs="Arial"/>
          <w:color w:val="000000"/>
          <w:lang w:val="es-ES_tradnl"/>
        </w:rPr>
        <w:t>.</w:t>
      </w:r>
    </w:p>
    <w:p w:rsidR="00F1023E" w:rsidRPr="00562413"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 xml:space="preserve"> </w:t>
      </w:r>
    </w:p>
    <w:p w:rsidR="00F1023E" w:rsidRPr="00562413" w:rsidRDefault="00F1023E" w:rsidP="00F1023E">
      <w:pPr>
        <w:widowControl w:val="0"/>
        <w:autoSpaceDE w:val="0"/>
        <w:autoSpaceDN w:val="0"/>
        <w:adjustRightInd w:val="0"/>
        <w:jc w:val="both"/>
        <w:rPr>
          <w:rFonts w:ascii="Arial" w:hAnsi="Arial" w:cs="Arial"/>
          <w:color w:val="000000"/>
          <w:lang w:val="es-ES_tradnl"/>
        </w:rPr>
      </w:pPr>
      <w:r w:rsidRPr="00562413">
        <w:rPr>
          <w:rFonts w:ascii="Arial" w:hAnsi="Arial" w:cs="Arial"/>
          <w:color w:val="000000"/>
          <w:lang w:val="es-ES_tradnl"/>
        </w:rPr>
        <w:t>El Decreto 0230 de 2002 sobre evaluación y promoción, enfatiza  en la necesidad de que el estudiante de la media técnica desarrolle, mediante componentes propios, las habilidades técnicas necesarias para evidenciar su conocimiento, denominadas hoy  competencias.  El Ministerio de Educación Nacional publica documentos que establecen los estándares nacionales en algunas áreas.</w:t>
      </w:r>
    </w:p>
    <w:p w:rsidR="00F1023E" w:rsidRPr="00924653" w:rsidRDefault="00F1023E" w:rsidP="00F1023E">
      <w:pPr>
        <w:autoSpaceDE w:val="0"/>
        <w:autoSpaceDN w:val="0"/>
        <w:adjustRightInd w:val="0"/>
        <w:jc w:val="both"/>
        <w:rPr>
          <w:rFonts w:ascii="Arial" w:hAnsi="Arial" w:cs="Arial"/>
          <w:b/>
        </w:rPr>
      </w:pPr>
    </w:p>
    <w:p w:rsidR="001F6EB7" w:rsidRDefault="001F6EB7">
      <w:bookmarkStart w:id="0" w:name="_GoBack"/>
      <w:bookmarkEnd w:id="0"/>
    </w:p>
    <w:sectPr w:rsidR="001F6EB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D3" w:rsidRDefault="00EB1ED3" w:rsidP="009E3BC3">
      <w:r>
        <w:separator/>
      </w:r>
    </w:p>
  </w:endnote>
  <w:endnote w:type="continuationSeparator" w:id="0">
    <w:p w:rsidR="00EB1ED3" w:rsidRDefault="00EB1ED3" w:rsidP="009E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D3" w:rsidRDefault="00EB1ED3" w:rsidP="009E3BC3">
      <w:r>
        <w:separator/>
      </w:r>
    </w:p>
  </w:footnote>
  <w:footnote w:type="continuationSeparator" w:id="0">
    <w:p w:rsidR="00EB1ED3" w:rsidRDefault="00EB1ED3" w:rsidP="009E3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20" w:type="dxa"/>
      <w:tblInd w:w="-344"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507"/>
      <w:gridCol w:w="7692"/>
      <w:gridCol w:w="1717"/>
    </w:tblGrid>
    <w:tr w:rsidR="009E3BC3" w:rsidTr="00DE66E2">
      <w:trPr>
        <w:trHeight w:val="390"/>
        <w:tblCellSpacing w:w="20" w:type="dxa"/>
      </w:trPr>
      <w:tc>
        <w:tcPr>
          <w:tcW w:w="1447" w:type="dxa"/>
          <w:vMerge w:val="restart"/>
        </w:tcPr>
        <w:p w:rsidR="009E3BC3" w:rsidRDefault="009E3BC3" w:rsidP="009E3BC3">
          <w:pPr>
            <w:pStyle w:val="Encabezado"/>
            <w:tabs>
              <w:tab w:val="center" w:pos="4252"/>
              <w:tab w:val="right" w:pos="8504"/>
            </w:tabs>
            <w:jc w:val="center"/>
          </w:pPr>
          <w:r>
            <w:rPr>
              <w:noProof/>
            </w:rPr>
            <w:drawing>
              <wp:anchor distT="0" distB="0" distL="114300" distR="114300" simplePos="0" relativeHeight="251658240" behindDoc="0" locked="0" layoutInCell="1" allowOverlap="1" wp14:anchorId="766BE0E3" wp14:editId="239F6246">
                <wp:simplePos x="0" y="0"/>
                <wp:positionH relativeFrom="column">
                  <wp:posOffset>136525</wp:posOffset>
                </wp:positionH>
                <wp:positionV relativeFrom="paragraph">
                  <wp:posOffset>81915</wp:posOffset>
                </wp:positionV>
                <wp:extent cx="504825" cy="657225"/>
                <wp:effectExtent l="0" t="0" r="9525" b="9525"/>
                <wp:wrapNone/>
                <wp:docPr id="1" name="Imagen 1" descr="Descripción: LOGO IERLB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IERLB6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2" w:type="dxa"/>
        </w:tcPr>
        <w:p w:rsidR="009E3BC3" w:rsidRDefault="009E3BC3" w:rsidP="009E3BC3">
          <w:pPr>
            <w:jc w:val="center"/>
            <w:rPr>
              <w:rFonts w:ascii="Arial" w:hAnsi="Arial" w:cs="Arial"/>
              <w:b/>
              <w:sz w:val="16"/>
              <w:szCs w:val="16"/>
            </w:rPr>
          </w:pPr>
          <w:r>
            <w:rPr>
              <w:rFonts w:ascii="Arial" w:hAnsi="Arial" w:cs="Arial"/>
              <w:b/>
              <w:sz w:val="16"/>
              <w:szCs w:val="16"/>
            </w:rPr>
            <w:t>INSTITUCIÓN EDUCATIVA RODRIGO LARA BONILLA</w:t>
          </w:r>
        </w:p>
        <w:p w:rsidR="009E3BC3" w:rsidRDefault="009E3BC3" w:rsidP="009E3BC3">
          <w:pPr>
            <w:jc w:val="center"/>
            <w:rPr>
              <w:rFonts w:ascii="Arial" w:hAnsi="Arial" w:cs="Arial"/>
              <w:b/>
              <w:sz w:val="16"/>
              <w:szCs w:val="16"/>
            </w:rPr>
          </w:pPr>
          <w:r>
            <w:rPr>
              <w:rFonts w:ascii="Arial" w:hAnsi="Arial" w:cs="Arial"/>
              <w:b/>
              <w:sz w:val="16"/>
              <w:szCs w:val="16"/>
            </w:rPr>
            <w:t>Resolución de aprobación No. 6477 del 15 de agosto de 2000,</w:t>
          </w:r>
        </w:p>
        <w:p w:rsidR="009E3BC3" w:rsidRDefault="009E3BC3" w:rsidP="009E3BC3">
          <w:pPr>
            <w:jc w:val="center"/>
            <w:rPr>
              <w:rFonts w:ascii="Arial" w:hAnsi="Arial" w:cs="Arial"/>
              <w:b/>
              <w:sz w:val="16"/>
              <w:szCs w:val="16"/>
            </w:rPr>
          </w:pPr>
          <w:r>
            <w:rPr>
              <w:rFonts w:ascii="Arial" w:hAnsi="Arial" w:cs="Arial"/>
              <w:b/>
              <w:sz w:val="16"/>
              <w:szCs w:val="16"/>
            </w:rPr>
            <w:t xml:space="preserve"> 16201 de Noviembre 27 de 2002 y Resolución Municipal No. 013989 de 17 de Diciembre de 2014.</w:t>
          </w:r>
        </w:p>
        <w:p w:rsidR="009E3BC3" w:rsidRDefault="009E3BC3" w:rsidP="009E3BC3">
          <w:pPr>
            <w:jc w:val="center"/>
            <w:rPr>
              <w:rFonts w:ascii="Arial" w:hAnsi="Arial" w:cs="Arial"/>
              <w:sz w:val="18"/>
              <w:szCs w:val="18"/>
            </w:rPr>
          </w:pPr>
          <w:r>
            <w:rPr>
              <w:rFonts w:ascii="Arial" w:hAnsi="Arial" w:cs="Arial"/>
              <w:b/>
              <w:sz w:val="16"/>
              <w:szCs w:val="16"/>
            </w:rPr>
            <w:t>DANE: 105001019534.  NIT: 811019616 – 2</w:t>
          </w:r>
        </w:p>
      </w:tc>
      <w:tc>
        <w:tcPr>
          <w:tcW w:w="1657" w:type="dxa"/>
        </w:tcPr>
        <w:p w:rsidR="009E3BC3" w:rsidRDefault="009E3BC3" w:rsidP="009E3BC3">
          <w:pPr>
            <w:pStyle w:val="Encabezado"/>
            <w:tabs>
              <w:tab w:val="center" w:pos="4252"/>
              <w:tab w:val="right" w:pos="8504"/>
            </w:tabs>
            <w:jc w:val="center"/>
            <w:rPr>
              <w:rFonts w:ascii="Arial" w:hAnsi="Arial" w:cs="Arial"/>
              <w:b/>
              <w:sz w:val="18"/>
              <w:szCs w:val="18"/>
            </w:rPr>
          </w:pPr>
        </w:p>
        <w:p w:rsidR="009E3BC3" w:rsidRDefault="009E3BC3" w:rsidP="009E3BC3">
          <w:pPr>
            <w:pStyle w:val="Encabezado"/>
            <w:tabs>
              <w:tab w:val="center" w:pos="4252"/>
              <w:tab w:val="right" w:pos="8504"/>
            </w:tabs>
            <w:jc w:val="center"/>
            <w:rPr>
              <w:rFonts w:ascii="Arial" w:hAnsi="Arial" w:cs="Arial"/>
              <w:b/>
              <w:sz w:val="18"/>
              <w:szCs w:val="18"/>
            </w:rPr>
          </w:pPr>
          <w:r>
            <w:rPr>
              <w:rFonts w:ascii="Arial" w:hAnsi="Arial" w:cs="Arial"/>
              <w:b/>
              <w:sz w:val="18"/>
              <w:szCs w:val="18"/>
            </w:rPr>
            <w:t>Versión: 1</w:t>
          </w:r>
        </w:p>
      </w:tc>
    </w:tr>
    <w:tr w:rsidR="009E3BC3" w:rsidTr="00DE66E2">
      <w:trPr>
        <w:trHeight w:val="113"/>
        <w:tblCellSpacing w:w="20" w:type="dxa"/>
      </w:trPr>
      <w:tc>
        <w:tcPr>
          <w:tcW w:w="1447" w:type="dxa"/>
          <w:vMerge/>
        </w:tcPr>
        <w:p w:rsidR="009E3BC3" w:rsidRDefault="009E3BC3" w:rsidP="009E3BC3">
          <w:pPr>
            <w:pStyle w:val="Encabezado"/>
            <w:tabs>
              <w:tab w:val="center" w:pos="4252"/>
              <w:tab w:val="right" w:pos="8504"/>
            </w:tabs>
          </w:pPr>
        </w:p>
      </w:tc>
      <w:tc>
        <w:tcPr>
          <w:tcW w:w="7652" w:type="dxa"/>
          <w:vMerge w:val="restart"/>
        </w:tcPr>
        <w:p w:rsidR="009E3BC3" w:rsidRDefault="009E3BC3" w:rsidP="009E3BC3">
          <w:pPr>
            <w:pStyle w:val="Encabezado"/>
            <w:tabs>
              <w:tab w:val="center" w:pos="4252"/>
              <w:tab w:val="right" w:pos="8504"/>
            </w:tabs>
            <w:jc w:val="center"/>
            <w:rPr>
              <w:rFonts w:ascii="Arial" w:eastAsia="Arial Unicode MS" w:hAnsi="Arial" w:cs="Arial"/>
              <w:b/>
              <w:sz w:val="18"/>
              <w:szCs w:val="18"/>
            </w:rPr>
          </w:pPr>
        </w:p>
        <w:p w:rsidR="009E3BC3" w:rsidRDefault="009E3BC3" w:rsidP="009E3BC3">
          <w:pPr>
            <w:pStyle w:val="Encabezado"/>
            <w:tabs>
              <w:tab w:val="center" w:pos="4252"/>
              <w:tab w:val="right" w:pos="8504"/>
            </w:tabs>
            <w:jc w:val="center"/>
            <w:rPr>
              <w:rFonts w:ascii="Arial" w:hAnsi="Arial" w:cs="Arial"/>
              <w:b/>
              <w:sz w:val="22"/>
              <w:szCs w:val="22"/>
            </w:rPr>
          </w:pPr>
          <w:r>
            <w:rPr>
              <w:rFonts w:ascii="Arial" w:eastAsia="Arial Unicode MS" w:hAnsi="Arial" w:cs="Arial"/>
              <w:b/>
              <w:sz w:val="22"/>
              <w:szCs w:val="22"/>
            </w:rPr>
            <w:t>SUSTENTACIÓN Y OBJETIVOS DE LA</w:t>
          </w:r>
          <w:r>
            <w:rPr>
              <w:rFonts w:ascii="Arial" w:eastAsia="Arial Unicode MS" w:hAnsi="Arial" w:cs="Arial"/>
              <w:b/>
              <w:sz w:val="22"/>
              <w:szCs w:val="22"/>
            </w:rPr>
            <w:t xml:space="preserve"> MEDIA TÉCNICA</w:t>
          </w:r>
        </w:p>
      </w:tc>
      <w:tc>
        <w:tcPr>
          <w:tcW w:w="1657" w:type="dxa"/>
        </w:tcPr>
        <w:p w:rsidR="009E3BC3" w:rsidRDefault="009E3BC3" w:rsidP="009E3BC3">
          <w:pPr>
            <w:pStyle w:val="Encabezado"/>
            <w:tabs>
              <w:tab w:val="center" w:pos="4252"/>
              <w:tab w:val="right" w:pos="8504"/>
            </w:tabs>
            <w:jc w:val="center"/>
            <w:rPr>
              <w:rFonts w:ascii="Arial" w:hAnsi="Arial" w:cs="Arial"/>
              <w:b/>
              <w:sz w:val="18"/>
              <w:szCs w:val="18"/>
            </w:rPr>
          </w:pPr>
          <w:r>
            <w:rPr>
              <w:rFonts w:ascii="Arial" w:hAnsi="Arial" w:cs="Arial"/>
              <w:b/>
              <w:sz w:val="18"/>
              <w:szCs w:val="18"/>
            </w:rPr>
            <w:t>Año: 2.018</w:t>
          </w:r>
        </w:p>
      </w:tc>
    </w:tr>
    <w:tr w:rsidR="009E3BC3" w:rsidTr="00DE66E2">
      <w:trPr>
        <w:trHeight w:val="90"/>
        <w:tblCellSpacing w:w="20" w:type="dxa"/>
      </w:trPr>
      <w:tc>
        <w:tcPr>
          <w:tcW w:w="1447" w:type="dxa"/>
          <w:vMerge/>
        </w:tcPr>
        <w:p w:rsidR="009E3BC3" w:rsidRDefault="009E3BC3" w:rsidP="009E3BC3">
          <w:pPr>
            <w:pStyle w:val="Encabezado"/>
            <w:tabs>
              <w:tab w:val="center" w:pos="4252"/>
              <w:tab w:val="right" w:pos="8504"/>
            </w:tabs>
          </w:pPr>
        </w:p>
      </w:tc>
      <w:tc>
        <w:tcPr>
          <w:tcW w:w="7652" w:type="dxa"/>
          <w:vMerge/>
        </w:tcPr>
        <w:p w:rsidR="009E3BC3" w:rsidRDefault="009E3BC3" w:rsidP="009E3BC3">
          <w:pPr>
            <w:pStyle w:val="Encabezado"/>
            <w:tabs>
              <w:tab w:val="center" w:pos="4252"/>
              <w:tab w:val="right" w:pos="8504"/>
            </w:tabs>
            <w:jc w:val="center"/>
            <w:rPr>
              <w:rFonts w:ascii="Arial" w:eastAsia="Arial Unicode MS" w:hAnsi="Arial" w:cs="Arial"/>
              <w:b/>
              <w:sz w:val="18"/>
              <w:szCs w:val="18"/>
            </w:rPr>
          </w:pPr>
        </w:p>
      </w:tc>
      <w:tc>
        <w:tcPr>
          <w:tcW w:w="1657" w:type="dxa"/>
        </w:tcPr>
        <w:p w:rsidR="009E3BC3" w:rsidRDefault="009E3BC3" w:rsidP="009E3BC3">
          <w:pPr>
            <w:jc w:val="center"/>
            <w:rPr>
              <w:rFonts w:ascii="Arial" w:hAnsi="Arial" w:cs="Arial"/>
              <w:b/>
              <w:sz w:val="18"/>
              <w:szCs w:val="18"/>
            </w:rPr>
          </w:pPr>
          <w:r>
            <w:rPr>
              <w:rFonts w:ascii="Arial" w:hAnsi="Arial" w:cs="Arial"/>
              <w:b/>
              <w:sz w:val="18"/>
              <w:szCs w:val="18"/>
            </w:rPr>
            <w:t xml:space="preserve">Página </w: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r>
            <w:rPr>
              <w:rFonts w:ascii="Arial" w:hAnsi="Arial" w:cs="Arial"/>
              <w:b/>
              <w:sz w:val="18"/>
              <w:szCs w:val="18"/>
            </w:rPr>
            <w:t xml:space="preserve"> de </w:t>
          </w:r>
          <w:r>
            <w:rPr>
              <w:rFonts w:ascii="Arial" w:hAnsi="Arial" w:cs="Arial"/>
              <w:b/>
              <w:sz w:val="18"/>
              <w:szCs w:val="18"/>
            </w:rPr>
            <w:fldChar w:fldCharType="begin"/>
          </w:r>
          <w:r>
            <w:rPr>
              <w:rFonts w:ascii="Arial" w:hAnsi="Arial" w:cs="Arial"/>
              <w:b/>
              <w:sz w:val="18"/>
              <w:szCs w:val="18"/>
            </w:rPr>
            <w:instrText xml:space="preserve"> NUMPAGES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p>
      </w:tc>
    </w:tr>
  </w:tbl>
  <w:p w:rsidR="009E3BC3" w:rsidRDefault="009E3B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4D96"/>
    <w:multiLevelType w:val="singleLevel"/>
    <w:tmpl w:val="C6540EFC"/>
    <w:lvl w:ilvl="0">
      <w:start w:val="4"/>
      <w:numFmt w:val="decimal"/>
      <w:lvlText w:val="%1"/>
      <w:legacy w:legacy="1" w:legacySpace="0" w:legacyIndent="360"/>
      <w:lvlJc w:val="left"/>
      <w:rPr>
        <w:rFonts w:ascii="Arial" w:hAnsi="Arial" w:cs="Arial" w:hint="default"/>
      </w:rPr>
    </w:lvl>
  </w:abstractNum>
  <w:abstractNum w:abstractNumId="1">
    <w:nsid w:val="13154E92"/>
    <w:multiLevelType w:val="singleLevel"/>
    <w:tmpl w:val="C6540EFC"/>
    <w:lvl w:ilvl="0">
      <w:start w:val="2"/>
      <w:numFmt w:val="decimal"/>
      <w:lvlText w:val="%1"/>
      <w:legacy w:legacy="1" w:legacySpace="0" w:legacyIndent="360"/>
      <w:lvlJc w:val="left"/>
      <w:rPr>
        <w:rFonts w:ascii="Arial" w:hAnsi="Arial" w:cs="Arial" w:hint="default"/>
      </w:rPr>
    </w:lvl>
  </w:abstractNum>
  <w:abstractNum w:abstractNumId="2">
    <w:nsid w:val="359F543B"/>
    <w:multiLevelType w:val="singleLevel"/>
    <w:tmpl w:val="C6540EFC"/>
    <w:lvl w:ilvl="0">
      <w:start w:val="3"/>
      <w:numFmt w:val="decimal"/>
      <w:lvlText w:val="%1"/>
      <w:legacy w:legacy="1" w:legacySpace="0" w:legacyIndent="360"/>
      <w:lvlJc w:val="left"/>
      <w:rPr>
        <w:rFonts w:ascii="Arial" w:hAnsi="Arial" w:cs="Arial" w:hint="default"/>
      </w:rPr>
    </w:lvl>
  </w:abstractNum>
  <w:abstractNum w:abstractNumId="3">
    <w:nsid w:val="4A061533"/>
    <w:multiLevelType w:val="singleLevel"/>
    <w:tmpl w:val="C9C8B624"/>
    <w:lvl w:ilvl="0">
      <w:start w:val="1"/>
      <w:numFmt w:val="decimal"/>
      <w:lvlText w:val="%1"/>
      <w:legacy w:legacy="1" w:legacySpace="0" w:legacyIndent="360"/>
      <w:lvlJc w:val="left"/>
      <w:rPr>
        <w:rFonts w:ascii="Arial" w:hAnsi="Arial" w:cs="Arial" w:hint="default"/>
      </w:rPr>
    </w:lvl>
  </w:abstractNum>
  <w:abstractNum w:abstractNumId="4">
    <w:nsid w:val="691A53FB"/>
    <w:multiLevelType w:val="singleLevel"/>
    <w:tmpl w:val="C6540EFC"/>
    <w:lvl w:ilvl="0">
      <w:start w:val="5"/>
      <w:numFmt w:val="decimal"/>
      <w:lvlText w:val="%1"/>
      <w:legacy w:legacy="1" w:legacySpace="0" w:legacyIndent="360"/>
      <w:lvlJc w:val="left"/>
      <w:rPr>
        <w:rFonts w:ascii="Arial" w:hAnsi="Arial" w:cs="Arial" w:hint="default"/>
      </w:rPr>
    </w:lvl>
  </w:abstractNum>
  <w:abstractNum w:abstractNumId="5">
    <w:nsid w:val="75D822C7"/>
    <w:multiLevelType w:val="singleLevel"/>
    <w:tmpl w:val="C9C8B624"/>
    <w:lvl w:ilvl="0">
      <w:start w:val="1"/>
      <w:numFmt w:val="decimal"/>
      <w:lvlText w:val="%1"/>
      <w:legacy w:legacy="1" w:legacySpace="0" w:legacyIndent="360"/>
      <w:lvlJc w:val="left"/>
      <w:rPr>
        <w:rFonts w:ascii="Arial" w:hAnsi="Arial" w:cs="Arial" w:hint="default"/>
      </w:rPr>
    </w:lvl>
  </w:abstractNum>
  <w:abstractNum w:abstractNumId="6">
    <w:nsid w:val="77944107"/>
    <w:multiLevelType w:val="singleLevel"/>
    <w:tmpl w:val="C6540EFC"/>
    <w:lvl w:ilvl="0">
      <w:start w:val="2"/>
      <w:numFmt w:val="decimal"/>
      <w:lvlText w:val="%1"/>
      <w:legacy w:legacy="1" w:legacySpace="0" w:legacyIndent="360"/>
      <w:lvlJc w:val="left"/>
      <w:rPr>
        <w:rFonts w:ascii="Arial" w:hAnsi="Arial" w:cs="Arial" w:hint="default"/>
      </w:rPr>
    </w:lvl>
  </w:abstractNum>
  <w:abstractNum w:abstractNumId="7">
    <w:nsid w:val="79B56D95"/>
    <w:multiLevelType w:val="singleLevel"/>
    <w:tmpl w:val="C6540EFC"/>
    <w:lvl w:ilvl="0">
      <w:start w:val="3"/>
      <w:numFmt w:val="decimal"/>
      <w:lvlText w:val="%1"/>
      <w:legacy w:legacy="1" w:legacySpace="0" w:legacyIndent="360"/>
      <w:lvlJc w:val="left"/>
      <w:rPr>
        <w:rFonts w:ascii="Arial" w:hAnsi="Arial" w:cs="Arial"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3E"/>
    <w:rsid w:val="001F6EB7"/>
    <w:rsid w:val="009E3BC3"/>
    <w:rsid w:val="00EB1ED3"/>
    <w:rsid w:val="00F102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42499-19CA-4C82-9EEB-3DED6282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3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3BC3"/>
    <w:pPr>
      <w:tabs>
        <w:tab w:val="center" w:pos="4419"/>
        <w:tab w:val="right" w:pos="8838"/>
      </w:tabs>
    </w:pPr>
  </w:style>
  <w:style w:type="character" w:customStyle="1" w:styleId="EncabezadoCar">
    <w:name w:val="Encabezado Car"/>
    <w:basedOn w:val="Fuentedeprrafopredeter"/>
    <w:link w:val="Encabezado"/>
    <w:uiPriority w:val="99"/>
    <w:rsid w:val="009E3BC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E3BC3"/>
    <w:pPr>
      <w:tabs>
        <w:tab w:val="center" w:pos="4419"/>
        <w:tab w:val="right" w:pos="8838"/>
      </w:tabs>
    </w:pPr>
  </w:style>
  <w:style w:type="character" w:customStyle="1" w:styleId="PiedepginaCar">
    <w:name w:val="Pie de página Car"/>
    <w:basedOn w:val="Fuentedeprrafopredeter"/>
    <w:link w:val="Piedepgina"/>
    <w:uiPriority w:val="99"/>
    <w:rsid w:val="009E3BC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1384</Words>
  <Characters>7616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2018-08-30T17:37:00Z</dcterms:created>
  <dcterms:modified xsi:type="dcterms:W3CDTF">2018-08-30T17:44:00Z</dcterms:modified>
</cp:coreProperties>
</file>